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B8EBC" w14:textId="77777777" w:rsidR="00DB3457" w:rsidRPr="00443AD1" w:rsidRDefault="00443AD1">
      <w:pPr>
        <w:pStyle w:val="afd"/>
        <w:rPr>
          <w:rFonts w:eastAsia="TimesNewRomanPSMT-Identity-H"/>
          <w:color w:val="000000" w:themeColor="text1"/>
          <w:kern w:val="0"/>
          <w:szCs w:val="21"/>
          <w:lang w:bidi="ar"/>
        </w:rPr>
      </w:pPr>
      <w:bookmarkStart w:id="0" w:name="_Hlk132900185"/>
      <w:r w:rsidRPr="00443AD1">
        <w:rPr>
          <w:rFonts w:eastAsia="宋体"/>
        </w:rPr>
        <w:t>Supplementary material</w:t>
      </w:r>
      <w:bookmarkEnd w:id="0"/>
    </w:p>
    <w:p w14:paraId="285F7866" w14:textId="77777777" w:rsidR="00DB3457" w:rsidRPr="00443AD1" w:rsidRDefault="00DB3457">
      <w:pPr>
        <w:ind w:firstLine="420"/>
        <w:rPr>
          <w:rFonts w:eastAsia="TimesNewRomanPSMT-Identity-H"/>
          <w:lang w:bidi="ar"/>
        </w:rPr>
      </w:pPr>
    </w:p>
    <w:p w14:paraId="719A9A13" w14:textId="77777777" w:rsidR="00DB3457" w:rsidRPr="00443AD1" w:rsidRDefault="00DB3457">
      <w:pPr>
        <w:ind w:firstLine="420"/>
        <w:rPr>
          <w:rFonts w:eastAsiaTheme="minorEastAsia"/>
          <w:color w:val="212121"/>
          <w:shd w:val="clear" w:color="auto" w:fill="FFFFFF"/>
        </w:rPr>
      </w:pPr>
    </w:p>
    <w:p w14:paraId="5315AD82" w14:textId="05030893" w:rsidR="00DB3457" w:rsidRPr="00443AD1" w:rsidRDefault="00443AD1">
      <w:pPr>
        <w:ind w:firstLine="420"/>
        <w:rPr>
          <w:rFonts w:eastAsia="Cambria"/>
          <w:color w:val="212121"/>
          <w:shd w:val="clear" w:color="auto" w:fill="FFFFFF"/>
        </w:rPr>
      </w:pPr>
      <w:r w:rsidRPr="00443AD1">
        <w:rPr>
          <w:rFonts w:eastAsia="TimesNewRomanPSMT-Identity-H" w:hint="eastAsia"/>
          <w:lang w:bidi="ar"/>
        </w:rPr>
        <w:t xml:space="preserve">The </w:t>
      </w:r>
      <w:r w:rsidRPr="00443AD1">
        <w:rPr>
          <w:rFonts w:eastAsia="TimesNewRomanPSMT-Identity-H" w:hint="eastAsia"/>
          <w:lang w:bidi="ar"/>
        </w:rPr>
        <w:t>pre</w:t>
      </w:r>
      <w:r w:rsidR="00A254F0" w:rsidRPr="00443AD1">
        <w:rPr>
          <w:rFonts w:eastAsia="TimesNewRomanPSMT-Identity-H"/>
          <w:lang w:bidi="ar"/>
        </w:rPr>
        <w:t>-</w:t>
      </w:r>
      <w:r w:rsidRPr="00443AD1">
        <w:rPr>
          <w:rFonts w:eastAsia="TimesNewRomanPSMT-Identity-H" w:hint="eastAsia"/>
          <w:lang w:bidi="ar"/>
        </w:rPr>
        <w:t>experiment</w:t>
      </w:r>
      <w:r w:rsidRPr="00443AD1">
        <w:rPr>
          <w:rFonts w:eastAsia="TimesNewRomanPSMT-Identity-H" w:hint="eastAsia"/>
          <w:lang w:bidi="ar"/>
        </w:rPr>
        <w:t xml:space="preserve"> included a total of 10 observation cases. Five of 10 </w:t>
      </w:r>
      <w:r w:rsidRPr="00443AD1">
        <w:rPr>
          <w:rFonts w:hint="eastAsia"/>
        </w:rPr>
        <w:t>Patients suffer from</w:t>
      </w:r>
      <w:r w:rsidRPr="00443AD1">
        <w:rPr>
          <w:rFonts w:eastAsia="宋体"/>
        </w:rPr>
        <w:t xml:space="preserve"> hypoxemia</w:t>
      </w:r>
      <w:r w:rsidRPr="00443AD1">
        <w:rPr>
          <w:rFonts w:eastAsia="宋体" w:hint="eastAsia"/>
        </w:rPr>
        <w:t xml:space="preserve"> when </w:t>
      </w:r>
      <w:r w:rsidRPr="00443AD1">
        <w:rPr>
          <w:rFonts w:eastAsia="宋体"/>
        </w:rPr>
        <w:t xml:space="preserve">underwent </w:t>
      </w:r>
      <w:r w:rsidRPr="00443AD1">
        <w:rPr>
          <w:rFonts w:eastAsia="TimesNewRomanPSMT-Identity-H"/>
          <w:lang w:bidi="ar"/>
        </w:rPr>
        <w:t>colonoscopy</w:t>
      </w:r>
      <w:r w:rsidRPr="00443AD1">
        <w:rPr>
          <w:rFonts w:eastAsia="TimesNewRomanPSMT-Identity-H" w:hint="eastAsia"/>
          <w:lang w:bidi="ar"/>
        </w:rPr>
        <w:t xml:space="preserve">, meeting inclusion and exclusion criteria. </w:t>
      </w:r>
      <w:r w:rsidRPr="00443AD1">
        <w:rPr>
          <w:lang w:bidi="ar"/>
        </w:rPr>
        <w:t xml:space="preserve">For anesthesia induction, a bolus </w:t>
      </w:r>
      <w:r w:rsidRPr="00443AD1">
        <w:rPr>
          <w:rFonts w:eastAsia="Cambria"/>
          <w:shd w:val="clear" w:color="auto" w:fill="FFFFFF"/>
        </w:rPr>
        <w:t xml:space="preserve">intravenous </w:t>
      </w:r>
      <w:r w:rsidRPr="00443AD1">
        <w:rPr>
          <w:rFonts w:eastAsia="Cambria"/>
          <w:shd w:val="clear" w:color="auto" w:fill="FFFFFF"/>
        </w:rPr>
        <w:t>injection of</w:t>
      </w:r>
      <w:r w:rsidRPr="00443AD1">
        <w:rPr>
          <w:shd w:val="clear" w:color="auto" w:fill="FFFFFF"/>
        </w:rPr>
        <w:t xml:space="preserve"> </w:t>
      </w:r>
      <w:r w:rsidRPr="00443AD1">
        <w:t>s</w:t>
      </w:r>
      <w:r w:rsidRPr="00443AD1">
        <w:rPr>
          <w:rFonts w:eastAsia="宋体"/>
        </w:rPr>
        <w:t>ufentanil</w:t>
      </w:r>
      <w:r w:rsidRPr="00443AD1">
        <w:t xml:space="preserve"> (0.1 </w:t>
      </w:r>
      <w:r w:rsidRPr="00443AD1">
        <w:sym w:font="Symbol" w:char="F06D"/>
      </w:r>
      <w:r w:rsidRPr="00443AD1">
        <w:rPr>
          <w:rFonts w:eastAsia="Times New Roman PSMT"/>
        </w:rPr>
        <w:t>g/kg</w:t>
      </w:r>
      <w:r w:rsidRPr="00443AD1">
        <w:t>)</w:t>
      </w:r>
      <w:r w:rsidRPr="00443AD1">
        <w:rPr>
          <w:rFonts w:hint="eastAsia"/>
        </w:rPr>
        <w:t xml:space="preserve"> and </w:t>
      </w:r>
      <w:r w:rsidRPr="00443AD1">
        <w:t xml:space="preserve">propofol </w:t>
      </w:r>
      <w:r w:rsidRPr="00443AD1">
        <w:rPr>
          <w:rFonts w:eastAsia="Times New Roman PSMT"/>
        </w:rPr>
        <w:t>(2 mg/kg)</w:t>
      </w:r>
      <w:r w:rsidRPr="00443AD1">
        <w:rPr>
          <w:rFonts w:eastAsia="Times New Roman PSMT" w:hint="eastAsia"/>
        </w:rPr>
        <w:t xml:space="preserve"> were administered.</w:t>
      </w:r>
      <w:r w:rsidRPr="00443AD1">
        <w:rPr>
          <w:rFonts w:eastAsia="Times New Roman PSMT"/>
        </w:rPr>
        <w:t xml:space="preserve"> </w:t>
      </w:r>
      <w:r w:rsidRPr="00443AD1">
        <w:rPr>
          <w:rFonts w:eastAsia="Cambria"/>
          <w:color w:val="000000"/>
          <w:shd w:val="clear" w:color="auto" w:fill="FFFFFF"/>
        </w:rPr>
        <w:t xml:space="preserve">When the eyelash reflex disappeared and there was no </w:t>
      </w:r>
      <w:r w:rsidRPr="00443AD1">
        <w:rPr>
          <w:color w:val="000000"/>
          <w:shd w:val="clear" w:color="auto" w:fill="FFFFFF"/>
        </w:rPr>
        <w:t xml:space="preserve">obvious </w:t>
      </w:r>
      <w:r w:rsidRPr="00443AD1">
        <w:rPr>
          <w:rFonts w:eastAsia="Cambria"/>
          <w:color w:val="000000"/>
          <w:shd w:val="clear" w:color="auto" w:fill="FFFFFF"/>
        </w:rPr>
        <w:t xml:space="preserve">body movement, </w:t>
      </w:r>
      <w:r w:rsidRPr="00443AD1">
        <w:rPr>
          <w:color w:val="000000"/>
          <w:shd w:val="clear" w:color="auto" w:fill="FFFFFF"/>
        </w:rPr>
        <w:t xml:space="preserve">as well as the </w:t>
      </w:r>
      <w:r w:rsidRPr="00443AD1">
        <w:rPr>
          <w:rFonts w:eastAsia="宋体"/>
          <w:color w:val="000000"/>
          <w:lang w:bidi="ar"/>
        </w:rPr>
        <w:t>MOAA/S</w:t>
      </w:r>
      <w:r w:rsidRPr="00443AD1">
        <w:rPr>
          <w:color w:val="000000"/>
        </w:rPr>
        <w:t xml:space="preserve"> was smaller than 3 points, </w:t>
      </w:r>
      <w:r w:rsidRPr="00443AD1">
        <w:rPr>
          <w:rFonts w:eastAsia="Cambria"/>
          <w:color w:val="000000"/>
          <w:shd w:val="clear" w:color="auto" w:fill="FFFFFF"/>
        </w:rPr>
        <w:t xml:space="preserve">the </w:t>
      </w:r>
      <w:r w:rsidRPr="00443AD1">
        <w:rPr>
          <w:color w:val="000000"/>
          <w:shd w:val="clear" w:color="auto" w:fill="FFFFFF"/>
        </w:rPr>
        <w:t>e</w:t>
      </w:r>
      <w:r w:rsidRPr="00443AD1">
        <w:rPr>
          <w:rFonts w:eastAsia="Cambria"/>
          <w:color w:val="000000"/>
          <w:shd w:val="clear" w:color="auto" w:fill="FFFFFF"/>
        </w:rPr>
        <w:t>ndoscop</w:t>
      </w:r>
      <w:r w:rsidRPr="00443AD1">
        <w:rPr>
          <w:color w:val="000000"/>
          <w:shd w:val="clear" w:color="auto" w:fill="FFFFFF"/>
        </w:rPr>
        <w:t>ist</w:t>
      </w:r>
      <w:r w:rsidRPr="00443AD1">
        <w:rPr>
          <w:rFonts w:eastAsia="Cambria"/>
          <w:color w:val="000000"/>
          <w:shd w:val="clear" w:color="auto" w:fill="FFFFFF"/>
        </w:rPr>
        <w:t xml:space="preserve"> began the </w:t>
      </w:r>
      <w:r w:rsidRPr="00443AD1">
        <w:rPr>
          <w:color w:val="000000"/>
        </w:rPr>
        <w:t>colono</w:t>
      </w:r>
      <w:r w:rsidRPr="00443AD1">
        <w:rPr>
          <w:rFonts w:eastAsia="宋体"/>
          <w:color w:val="000000"/>
        </w:rPr>
        <w:t xml:space="preserve">scopy. </w:t>
      </w:r>
      <w:r w:rsidRPr="00443AD1">
        <w:rPr>
          <w:color w:val="000000"/>
        </w:rPr>
        <w:t xml:space="preserve">If the MOAA/S score was greater, propofol (0.5 mg/kg) </w:t>
      </w:r>
      <w:r w:rsidRPr="00443AD1">
        <w:rPr>
          <w:rFonts w:eastAsia="Times New Roman PSMT"/>
          <w:color w:val="000000"/>
        </w:rPr>
        <w:t>was</w:t>
      </w:r>
      <w:r w:rsidRPr="00443AD1">
        <w:rPr>
          <w:color w:val="000000"/>
        </w:rPr>
        <w:t xml:space="preserve"> additionally administered. </w:t>
      </w:r>
      <w:r w:rsidRPr="00443AD1">
        <w:rPr>
          <w:rFonts w:eastAsia="Cambria"/>
          <w:color w:val="212121"/>
          <w:shd w:val="clear" w:color="auto" w:fill="FFFFFF"/>
        </w:rPr>
        <w:t>Other perioperative security incidents were also recorded and treated in accordance with the clinical operation standards of Deyang People’s Hospital.</w:t>
      </w:r>
    </w:p>
    <w:p w14:paraId="788AC4FD" w14:textId="606C9F5B" w:rsidR="00DB3457" w:rsidRPr="00443AD1" w:rsidRDefault="00443AD1">
      <w:pPr>
        <w:pStyle w:val="af3"/>
        <w:rPr>
          <w:rFonts w:eastAsiaTheme="minorEastAsia"/>
          <w:color w:val="000000"/>
          <w:lang w:bidi="ar"/>
        </w:rPr>
      </w:pPr>
      <w:r w:rsidRPr="00443AD1">
        <w:rPr>
          <w:rFonts w:eastAsia="宋体"/>
        </w:rPr>
        <w:t xml:space="preserve">Supplementary Table </w:t>
      </w:r>
      <w:r w:rsidRPr="00443AD1">
        <w:rPr>
          <w:rFonts w:eastAsia="宋体"/>
        </w:rPr>
        <w:t>1.</w:t>
      </w:r>
      <w:r w:rsidRPr="00443AD1">
        <w:rPr>
          <w:rFonts w:eastAsia="宋体"/>
        </w:rPr>
        <w:t xml:space="preserve"> </w:t>
      </w:r>
      <w:r w:rsidR="00A254F0" w:rsidRPr="00443AD1">
        <w:rPr>
          <w:rFonts w:eastAsia="宋体"/>
        </w:rPr>
        <w:t>The pre-experiment to detect the incidence of hypoxemia in the combination of propofol and sufentanil during painless colonoscopy examination</w:t>
      </w:r>
      <w:r w:rsidRPr="00443AD1">
        <w:rPr>
          <w:rFonts w:eastAsia="宋体"/>
        </w:rPr>
        <w:t>.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661"/>
        <w:gridCol w:w="1753"/>
        <w:gridCol w:w="1753"/>
        <w:gridCol w:w="1677"/>
        <w:gridCol w:w="1677"/>
      </w:tblGrid>
      <w:tr w:rsidR="00DB3457" w:rsidRPr="00443AD1" w14:paraId="4D4A604D" w14:textId="77777777">
        <w:trPr>
          <w:trHeight w:val="293"/>
          <w:jc w:val="center"/>
        </w:trPr>
        <w:tc>
          <w:tcPr>
            <w:tcW w:w="1661" w:type="dxa"/>
            <w:vAlign w:val="center"/>
          </w:tcPr>
          <w:p w14:paraId="6841490F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Case number</w:t>
            </w:r>
          </w:p>
        </w:tc>
        <w:tc>
          <w:tcPr>
            <w:tcW w:w="1753" w:type="dxa"/>
            <w:vAlign w:val="center"/>
          </w:tcPr>
          <w:p w14:paraId="2B9CB033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Sex (Male/Female)</w:t>
            </w:r>
          </w:p>
        </w:tc>
        <w:tc>
          <w:tcPr>
            <w:tcW w:w="1753" w:type="dxa"/>
            <w:vAlign w:val="center"/>
          </w:tcPr>
          <w:p w14:paraId="35204FA6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BMI (</w:t>
            </w:r>
            <w:r w:rsidRPr="00443AD1">
              <w:rPr>
                <w:rFonts w:eastAsia="宋体"/>
                <w:color w:val="000000"/>
              </w:rPr>
              <w:t>kg/m</w:t>
            </w:r>
            <w:r w:rsidRPr="00443AD1">
              <w:rPr>
                <w:rFonts w:eastAsia="宋体"/>
                <w:color w:val="000000"/>
                <w:vertAlign w:val="superscript"/>
              </w:rPr>
              <w:t>2</w:t>
            </w: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)</w:t>
            </w:r>
          </w:p>
        </w:tc>
        <w:tc>
          <w:tcPr>
            <w:tcW w:w="1677" w:type="dxa"/>
            <w:vAlign w:val="center"/>
          </w:tcPr>
          <w:p w14:paraId="339C52D8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Age (y)</w:t>
            </w:r>
          </w:p>
        </w:tc>
        <w:tc>
          <w:tcPr>
            <w:tcW w:w="1677" w:type="dxa"/>
            <w:vAlign w:val="center"/>
          </w:tcPr>
          <w:p w14:paraId="0F230383" w14:textId="77777777" w:rsidR="00DB3457" w:rsidRPr="00443AD1" w:rsidRDefault="00443AD1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  <w:r w:rsidRPr="00443AD1">
              <w:rPr>
                <w:rFonts w:eastAsia="宋体"/>
                <w:color w:val="000000"/>
              </w:rPr>
              <w:t>Hypoxemia (+/−)</w:t>
            </w:r>
          </w:p>
        </w:tc>
      </w:tr>
      <w:tr w:rsidR="00DB3457" w:rsidRPr="00443AD1" w14:paraId="65008DA7" w14:textId="77777777">
        <w:trPr>
          <w:jc w:val="center"/>
        </w:trPr>
        <w:tc>
          <w:tcPr>
            <w:tcW w:w="1661" w:type="dxa"/>
            <w:vAlign w:val="center"/>
          </w:tcPr>
          <w:p w14:paraId="395D4E27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3" w:type="dxa"/>
            <w:vAlign w:val="center"/>
          </w:tcPr>
          <w:p w14:paraId="4B8C0263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Male</w:t>
            </w:r>
          </w:p>
        </w:tc>
        <w:tc>
          <w:tcPr>
            <w:tcW w:w="1753" w:type="dxa"/>
            <w:vAlign w:val="center"/>
          </w:tcPr>
          <w:p w14:paraId="55447019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28.85</w:t>
            </w:r>
          </w:p>
        </w:tc>
        <w:tc>
          <w:tcPr>
            <w:tcW w:w="1677" w:type="dxa"/>
            <w:vAlign w:val="center"/>
          </w:tcPr>
          <w:p w14:paraId="3D8D4AA5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1677" w:type="dxa"/>
            <w:vAlign w:val="center"/>
          </w:tcPr>
          <w:p w14:paraId="7075746E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+</w:t>
            </w:r>
          </w:p>
        </w:tc>
      </w:tr>
      <w:tr w:rsidR="00DB3457" w:rsidRPr="00443AD1" w14:paraId="77D16645" w14:textId="77777777">
        <w:trPr>
          <w:jc w:val="center"/>
        </w:trPr>
        <w:tc>
          <w:tcPr>
            <w:tcW w:w="1661" w:type="dxa"/>
            <w:vAlign w:val="center"/>
          </w:tcPr>
          <w:p w14:paraId="61473CDF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753" w:type="dxa"/>
            <w:vAlign w:val="center"/>
          </w:tcPr>
          <w:p w14:paraId="04F724DC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Male</w:t>
            </w:r>
          </w:p>
        </w:tc>
        <w:tc>
          <w:tcPr>
            <w:tcW w:w="1753" w:type="dxa"/>
            <w:vAlign w:val="center"/>
          </w:tcPr>
          <w:p w14:paraId="184DCA57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30.45</w:t>
            </w:r>
          </w:p>
        </w:tc>
        <w:tc>
          <w:tcPr>
            <w:tcW w:w="1677" w:type="dxa"/>
            <w:vAlign w:val="center"/>
          </w:tcPr>
          <w:p w14:paraId="7B582AD7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1677" w:type="dxa"/>
            <w:vAlign w:val="center"/>
          </w:tcPr>
          <w:p w14:paraId="00708600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+</w:t>
            </w:r>
          </w:p>
        </w:tc>
      </w:tr>
      <w:tr w:rsidR="00DB3457" w:rsidRPr="00443AD1" w14:paraId="1CCC45DF" w14:textId="77777777">
        <w:trPr>
          <w:jc w:val="center"/>
        </w:trPr>
        <w:tc>
          <w:tcPr>
            <w:tcW w:w="1661" w:type="dxa"/>
            <w:vAlign w:val="center"/>
          </w:tcPr>
          <w:p w14:paraId="374D4EB8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753" w:type="dxa"/>
            <w:vAlign w:val="center"/>
          </w:tcPr>
          <w:p w14:paraId="2BD1AC35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Female</w:t>
            </w:r>
          </w:p>
        </w:tc>
        <w:tc>
          <w:tcPr>
            <w:tcW w:w="1753" w:type="dxa"/>
            <w:vAlign w:val="center"/>
          </w:tcPr>
          <w:p w14:paraId="25C82C0C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31.76</w:t>
            </w:r>
          </w:p>
        </w:tc>
        <w:tc>
          <w:tcPr>
            <w:tcW w:w="1677" w:type="dxa"/>
            <w:vAlign w:val="center"/>
          </w:tcPr>
          <w:p w14:paraId="0B4E8415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1677" w:type="dxa"/>
            <w:vAlign w:val="center"/>
          </w:tcPr>
          <w:p w14:paraId="5E2DC430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+</w:t>
            </w:r>
          </w:p>
        </w:tc>
      </w:tr>
      <w:tr w:rsidR="00DB3457" w:rsidRPr="00443AD1" w14:paraId="3233F3C6" w14:textId="77777777">
        <w:trPr>
          <w:jc w:val="center"/>
        </w:trPr>
        <w:tc>
          <w:tcPr>
            <w:tcW w:w="1661" w:type="dxa"/>
            <w:vAlign w:val="center"/>
          </w:tcPr>
          <w:p w14:paraId="63A14D15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753" w:type="dxa"/>
            <w:vAlign w:val="center"/>
          </w:tcPr>
          <w:p w14:paraId="3E170D00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Male</w:t>
            </w:r>
          </w:p>
        </w:tc>
        <w:tc>
          <w:tcPr>
            <w:tcW w:w="1753" w:type="dxa"/>
            <w:vAlign w:val="center"/>
          </w:tcPr>
          <w:p w14:paraId="155A81D5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29.06</w:t>
            </w:r>
          </w:p>
        </w:tc>
        <w:tc>
          <w:tcPr>
            <w:tcW w:w="1677" w:type="dxa"/>
            <w:vAlign w:val="center"/>
          </w:tcPr>
          <w:p w14:paraId="4C339122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1677" w:type="dxa"/>
            <w:vAlign w:val="center"/>
          </w:tcPr>
          <w:p w14:paraId="7153AD80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−</w:t>
            </w:r>
          </w:p>
        </w:tc>
      </w:tr>
      <w:tr w:rsidR="00DB3457" w:rsidRPr="00443AD1" w14:paraId="2E84A2A5" w14:textId="77777777">
        <w:trPr>
          <w:jc w:val="center"/>
        </w:trPr>
        <w:tc>
          <w:tcPr>
            <w:tcW w:w="1661" w:type="dxa"/>
            <w:vAlign w:val="center"/>
          </w:tcPr>
          <w:p w14:paraId="0E1BB88B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753" w:type="dxa"/>
            <w:vAlign w:val="center"/>
          </w:tcPr>
          <w:p w14:paraId="58835628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Female</w:t>
            </w:r>
          </w:p>
        </w:tc>
        <w:tc>
          <w:tcPr>
            <w:tcW w:w="1753" w:type="dxa"/>
            <w:vAlign w:val="center"/>
          </w:tcPr>
          <w:p w14:paraId="418D1612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34.65</w:t>
            </w:r>
          </w:p>
        </w:tc>
        <w:tc>
          <w:tcPr>
            <w:tcW w:w="1677" w:type="dxa"/>
            <w:vAlign w:val="center"/>
          </w:tcPr>
          <w:p w14:paraId="5C948CB3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49</w:t>
            </w:r>
          </w:p>
        </w:tc>
        <w:tc>
          <w:tcPr>
            <w:tcW w:w="1677" w:type="dxa"/>
            <w:vAlign w:val="center"/>
          </w:tcPr>
          <w:p w14:paraId="49E698E7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+</w:t>
            </w:r>
          </w:p>
        </w:tc>
      </w:tr>
      <w:tr w:rsidR="00DB3457" w:rsidRPr="00443AD1" w14:paraId="4A30773C" w14:textId="77777777">
        <w:trPr>
          <w:jc w:val="center"/>
        </w:trPr>
        <w:tc>
          <w:tcPr>
            <w:tcW w:w="1661" w:type="dxa"/>
            <w:vAlign w:val="center"/>
          </w:tcPr>
          <w:p w14:paraId="31606DC8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753" w:type="dxa"/>
            <w:vAlign w:val="center"/>
          </w:tcPr>
          <w:p w14:paraId="5B606354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Female</w:t>
            </w:r>
          </w:p>
        </w:tc>
        <w:tc>
          <w:tcPr>
            <w:tcW w:w="1753" w:type="dxa"/>
            <w:vAlign w:val="center"/>
          </w:tcPr>
          <w:p w14:paraId="1BCF66E8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29.88</w:t>
            </w:r>
          </w:p>
        </w:tc>
        <w:tc>
          <w:tcPr>
            <w:tcW w:w="1677" w:type="dxa"/>
            <w:vAlign w:val="center"/>
          </w:tcPr>
          <w:p w14:paraId="7EABA081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51</w:t>
            </w:r>
          </w:p>
        </w:tc>
        <w:tc>
          <w:tcPr>
            <w:tcW w:w="1677" w:type="dxa"/>
            <w:vAlign w:val="center"/>
          </w:tcPr>
          <w:p w14:paraId="193966FB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−</w:t>
            </w:r>
          </w:p>
        </w:tc>
      </w:tr>
      <w:tr w:rsidR="00DB3457" w:rsidRPr="00443AD1" w14:paraId="474B41B5" w14:textId="77777777">
        <w:trPr>
          <w:jc w:val="center"/>
        </w:trPr>
        <w:tc>
          <w:tcPr>
            <w:tcW w:w="1661" w:type="dxa"/>
            <w:vAlign w:val="center"/>
          </w:tcPr>
          <w:p w14:paraId="405B20A6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753" w:type="dxa"/>
            <w:vAlign w:val="center"/>
          </w:tcPr>
          <w:p w14:paraId="030050B5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Male</w:t>
            </w:r>
          </w:p>
        </w:tc>
        <w:tc>
          <w:tcPr>
            <w:tcW w:w="1753" w:type="dxa"/>
            <w:vAlign w:val="center"/>
          </w:tcPr>
          <w:p w14:paraId="3E24DF69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27.66</w:t>
            </w:r>
          </w:p>
        </w:tc>
        <w:tc>
          <w:tcPr>
            <w:tcW w:w="1677" w:type="dxa"/>
            <w:vAlign w:val="center"/>
          </w:tcPr>
          <w:p w14:paraId="279B86B5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1677" w:type="dxa"/>
            <w:vAlign w:val="center"/>
          </w:tcPr>
          <w:p w14:paraId="148B83C8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+</w:t>
            </w:r>
          </w:p>
        </w:tc>
      </w:tr>
      <w:tr w:rsidR="00DB3457" w:rsidRPr="00443AD1" w14:paraId="0D1E5D86" w14:textId="77777777">
        <w:trPr>
          <w:jc w:val="center"/>
        </w:trPr>
        <w:tc>
          <w:tcPr>
            <w:tcW w:w="1661" w:type="dxa"/>
            <w:vAlign w:val="center"/>
          </w:tcPr>
          <w:p w14:paraId="2D24A37B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753" w:type="dxa"/>
            <w:vAlign w:val="center"/>
          </w:tcPr>
          <w:p w14:paraId="71A080A5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Male</w:t>
            </w:r>
          </w:p>
        </w:tc>
        <w:tc>
          <w:tcPr>
            <w:tcW w:w="1753" w:type="dxa"/>
            <w:vAlign w:val="center"/>
          </w:tcPr>
          <w:p w14:paraId="3574276A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24.66</w:t>
            </w:r>
          </w:p>
        </w:tc>
        <w:tc>
          <w:tcPr>
            <w:tcW w:w="1677" w:type="dxa"/>
            <w:vAlign w:val="center"/>
          </w:tcPr>
          <w:p w14:paraId="4418CF85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1677" w:type="dxa"/>
            <w:vAlign w:val="center"/>
          </w:tcPr>
          <w:p w14:paraId="06DDFC22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−</w:t>
            </w:r>
          </w:p>
        </w:tc>
      </w:tr>
      <w:tr w:rsidR="00DB3457" w:rsidRPr="00443AD1" w14:paraId="3672E7B0" w14:textId="77777777">
        <w:trPr>
          <w:jc w:val="center"/>
        </w:trPr>
        <w:tc>
          <w:tcPr>
            <w:tcW w:w="1661" w:type="dxa"/>
            <w:vAlign w:val="center"/>
          </w:tcPr>
          <w:p w14:paraId="60F6A7DB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753" w:type="dxa"/>
            <w:vAlign w:val="center"/>
          </w:tcPr>
          <w:p w14:paraId="71927604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Female</w:t>
            </w:r>
          </w:p>
        </w:tc>
        <w:tc>
          <w:tcPr>
            <w:tcW w:w="1753" w:type="dxa"/>
            <w:vAlign w:val="center"/>
          </w:tcPr>
          <w:p w14:paraId="1AC66227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28.77</w:t>
            </w:r>
          </w:p>
        </w:tc>
        <w:tc>
          <w:tcPr>
            <w:tcW w:w="1677" w:type="dxa"/>
            <w:vAlign w:val="center"/>
          </w:tcPr>
          <w:p w14:paraId="47B03ED2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1677" w:type="dxa"/>
            <w:vAlign w:val="center"/>
          </w:tcPr>
          <w:p w14:paraId="4F66D129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−</w:t>
            </w:r>
          </w:p>
        </w:tc>
      </w:tr>
      <w:tr w:rsidR="00DB3457" w:rsidRPr="00443AD1" w14:paraId="322C9578" w14:textId="77777777">
        <w:trPr>
          <w:jc w:val="center"/>
        </w:trPr>
        <w:tc>
          <w:tcPr>
            <w:tcW w:w="1661" w:type="dxa"/>
            <w:vAlign w:val="center"/>
          </w:tcPr>
          <w:p w14:paraId="712F23F3" w14:textId="77777777" w:rsidR="00DB3457" w:rsidRPr="00443AD1" w:rsidRDefault="00443AD1">
            <w:pPr>
              <w:ind w:firstLineChars="0" w:firstLine="0"/>
              <w:jc w:val="left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753" w:type="dxa"/>
            <w:vAlign w:val="center"/>
          </w:tcPr>
          <w:p w14:paraId="38831963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color w:val="000000"/>
              </w:rPr>
              <w:t>Male</w:t>
            </w:r>
          </w:p>
        </w:tc>
        <w:tc>
          <w:tcPr>
            <w:tcW w:w="1753" w:type="dxa"/>
            <w:vAlign w:val="center"/>
          </w:tcPr>
          <w:p w14:paraId="1871CB66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33.59</w:t>
            </w:r>
          </w:p>
        </w:tc>
        <w:tc>
          <w:tcPr>
            <w:tcW w:w="1677" w:type="dxa"/>
            <w:vAlign w:val="center"/>
          </w:tcPr>
          <w:p w14:paraId="6094D920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TimesNewRomanPSMT-Identity-H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1677" w:type="dxa"/>
            <w:vAlign w:val="center"/>
          </w:tcPr>
          <w:p w14:paraId="495A8EFE" w14:textId="77777777" w:rsidR="00DB3457" w:rsidRPr="00443AD1" w:rsidRDefault="00443AD1">
            <w:pPr>
              <w:ind w:firstLineChars="0" w:firstLine="0"/>
              <w:jc w:val="center"/>
              <w:rPr>
                <w:rFonts w:eastAsia="TimesNewRomanPSMT-Identity-H"/>
                <w:color w:val="000000"/>
                <w:kern w:val="0"/>
                <w:lang w:bidi="ar"/>
              </w:rPr>
            </w:pPr>
            <w:r w:rsidRPr="00443AD1">
              <w:rPr>
                <w:rFonts w:eastAsia="宋体"/>
                <w:color w:val="000000"/>
              </w:rPr>
              <w:t>−</w:t>
            </w:r>
          </w:p>
        </w:tc>
      </w:tr>
    </w:tbl>
    <w:p w14:paraId="736EE559" w14:textId="77777777" w:rsidR="00DB3457" w:rsidRPr="00443AD1" w:rsidRDefault="00DB3457">
      <w:pPr>
        <w:ind w:firstLine="420"/>
        <w:rPr>
          <w:rFonts w:eastAsia="TimesNewRomanPSMT-Identity-H"/>
          <w:lang w:bidi="ar"/>
        </w:rPr>
      </w:pPr>
    </w:p>
    <w:p w14:paraId="00616F7D" w14:textId="77777777" w:rsidR="00DB3457" w:rsidRPr="00443AD1" w:rsidRDefault="00DB3457">
      <w:pPr>
        <w:ind w:firstLine="420"/>
        <w:rPr>
          <w:rFonts w:eastAsia="TimesNewRomanPSMT-Identity-H"/>
          <w:lang w:bidi="ar"/>
        </w:rPr>
      </w:pPr>
    </w:p>
    <w:p w14:paraId="34FEAE1B" w14:textId="422A497D" w:rsidR="00DB3457" w:rsidRPr="00443AD1" w:rsidRDefault="00443AD1">
      <w:pPr>
        <w:ind w:firstLine="420"/>
        <w:rPr>
          <w:rFonts w:eastAsia="TimesNewRomanPSMT-Identity-H"/>
          <w:color w:val="000000"/>
          <w:kern w:val="0"/>
          <w:lang w:bidi="ar"/>
        </w:rPr>
      </w:pPr>
      <w:r w:rsidRPr="00443AD1">
        <w:t>We designed another</w:t>
      </w:r>
      <w:r w:rsidRPr="00443AD1">
        <w:rPr>
          <w:rFonts w:eastAsia="TimesNewRomanPSMT-Identity-H"/>
          <w:color w:val="000000" w:themeColor="text1"/>
          <w:kern w:val="0"/>
          <w:lang w:bidi="ar"/>
        </w:rPr>
        <w:t xml:space="preserve"> </w:t>
      </w:r>
      <w:r w:rsidRPr="00443AD1">
        <w:rPr>
          <w:rFonts w:eastAsia="TimesNewRomanPSMT-Identity-H"/>
          <w:color w:val="000000" w:themeColor="text1"/>
          <w:kern w:val="0"/>
          <w:lang w:bidi="ar"/>
        </w:rPr>
        <w:t>pre</w:t>
      </w:r>
      <w:r w:rsidRPr="00443AD1">
        <w:rPr>
          <w:rFonts w:eastAsia="宋体" w:hint="eastAsia"/>
          <w:color w:val="000000" w:themeColor="text1"/>
          <w:kern w:val="0"/>
          <w:lang w:bidi="ar"/>
        </w:rPr>
        <w:t>-</w:t>
      </w:r>
      <w:r w:rsidRPr="00443AD1">
        <w:rPr>
          <w:rFonts w:eastAsia="TimesNewRomanPSMT-Identity-H"/>
          <w:color w:val="000000" w:themeColor="text1"/>
          <w:kern w:val="0"/>
          <w:lang w:bidi="ar"/>
        </w:rPr>
        <w:t>experiment</w:t>
      </w:r>
      <w:r w:rsidRPr="00443AD1">
        <w:rPr>
          <w:rFonts w:eastAsia="TimesNewRomanPSMT-Identity-H"/>
          <w:color w:val="000000" w:themeColor="text1"/>
          <w:kern w:val="0"/>
          <w:lang w:bidi="ar"/>
        </w:rPr>
        <w:t xml:space="preserve"> to </w:t>
      </w:r>
      <w:r w:rsidRPr="00443AD1">
        <w:t>explore the optimal dose concentration gradient of remimazolam besylate, in which we</w:t>
      </w:r>
      <w:r w:rsidRPr="00443AD1">
        <w:rPr>
          <w:rFonts w:hint="eastAsia"/>
        </w:rPr>
        <w:t xml:space="preserve"> </w:t>
      </w:r>
      <w:r w:rsidRPr="00443AD1">
        <w:t>designed 5 concentration gradients from 0.1</w:t>
      </w:r>
      <w:r w:rsidRPr="00443AD1">
        <w:rPr>
          <w:rFonts w:hint="eastAsia"/>
        </w:rPr>
        <w:t xml:space="preserve"> </w:t>
      </w:r>
      <w:r w:rsidRPr="00443AD1">
        <w:t>mg/kg to 0.3</w:t>
      </w:r>
      <w:r w:rsidRPr="00443AD1">
        <w:rPr>
          <w:rFonts w:hint="eastAsia"/>
        </w:rPr>
        <w:t xml:space="preserve"> </w:t>
      </w:r>
      <w:r w:rsidRPr="00443AD1">
        <w:t xml:space="preserve">mg/kg, with one gradient per 0.05 mg/kg. </w:t>
      </w:r>
      <w:r w:rsidRPr="00443AD1">
        <w:rPr>
          <w:rFonts w:hint="eastAsia"/>
        </w:rPr>
        <w:t>F</w:t>
      </w:r>
      <w:r w:rsidRPr="00443AD1">
        <w:t xml:space="preserve">ive patients </w:t>
      </w:r>
      <w:r w:rsidRPr="00443AD1">
        <w:rPr>
          <w:rFonts w:hint="eastAsia"/>
        </w:rPr>
        <w:t xml:space="preserve">were </w:t>
      </w:r>
      <w:r w:rsidRPr="00443AD1">
        <w:t>included</w:t>
      </w:r>
      <w:r w:rsidRPr="00443AD1">
        <w:rPr>
          <w:rFonts w:hint="eastAsia"/>
        </w:rPr>
        <w:t xml:space="preserve"> in e</w:t>
      </w:r>
      <w:r w:rsidRPr="00443AD1">
        <w:t>ach concentration gradient for observation.</w:t>
      </w:r>
      <w:r w:rsidRPr="00443AD1">
        <w:rPr>
          <w:rFonts w:hint="eastAsia"/>
        </w:rPr>
        <w:t xml:space="preserve"> </w:t>
      </w:r>
      <w:r w:rsidRPr="00443AD1">
        <w:rPr>
          <w:color w:val="000000" w:themeColor="text1"/>
          <w:kern w:val="0"/>
          <w:lang w:bidi="ar"/>
        </w:rPr>
        <w:t xml:space="preserve">For anesthesia induction, a bolus </w:t>
      </w:r>
      <w:r w:rsidRPr="00443AD1">
        <w:rPr>
          <w:rFonts w:eastAsia="Cambria"/>
          <w:color w:val="000000" w:themeColor="text1"/>
          <w:shd w:val="clear" w:color="auto" w:fill="FFFFFF"/>
        </w:rPr>
        <w:t>intravenous injection of</w:t>
      </w:r>
      <w:r w:rsidRPr="00443AD1">
        <w:rPr>
          <w:color w:val="000000" w:themeColor="text1"/>
          <w:shd w:val="clear" w:color="auto" w:fill="FFFFFF"/>
        </w:rPr>
        <w:t xml:space="preserve"> </w:t>
      </w:r>
      <w:r w:rsidRPr="00443AD1">
        <w:rPr>
          <w:color w:val="000000" w:themeColor="text1"/>
        </w:rPr>
        <w:t>s</w:t>
      </w:r>
      <w:r w:rsidRPr="00443AD1">
        <w:rPr>
          <w:rFonts w:eastAsia="宋体"/>
          <w:color w:val="000000" w:themeColor="text1"/>
        </w:rPr>
        <w:t>ufentanil</w:t>
      </w:r>
      <w:r w:rsidRPr="00443AD1">
        <w:rPr>
          <w:rFonts w:hint="eastAsia"/>
          <w:color w:val="000000" w:themeColor="text1"/>
        </w:rPr>
        <w:t xml:space="preserve"> and target-</w:t>
      </w:r>
      <w:r w:rsidRPr="00443AD1">
        <w:t>gradient</w:t>
      </w:r>
      <w:r w:rsidRPr="00443AD1">
        <w:rPr>
          <w:rFonts w:hint="eastAsia"/>
          <w:color w:val="000000" w:themeColor="text1"/>
        </w:rPr>
        <w:t xml:space="preserve"> </w:t>
      </w:r>
      <w:r w:rsidRPr="00443AD1">
        <w:t>remimazolam besylate</w:t>
      </w:r>
      <w:r w:rsidRPr="00443AD1">
        <w:rPr>
          <w:rFonts w:eastAsia="Times New Roman PSMT" w:hint="eastAsia"/>
          <w:color w:val="000000" w:themeColor="text1"/>
        </w:rPr>
        <w:t xml:space="preserve"> were administered.</w:t>
      </w:r>
      <w:r w:rsidRPr="00443AD1">
        <w:rPr>
          <w:rFonts w:eastAsia="Times New Roman PSMT"/>
          <w:color w:val="000000" w:themeColor="text1"/>
        </w:rPr>
        <w:t xml:space="preserve"> </w:t>
      </w:r>
      <w:r w:rsidRPr="00443AD1">
        <w:rPr>
          <w:rFonts w:eastAsia="Cambria"/>
          <w:color w:val="000000"/>
          <w:shd w:val="clear" w:color="auto" w:fill="FFFFFF"/>
        </w:rPr>
        <w:t xml:space="preserve">When the eyelash reflex disappeared and there was no </w:t>
      </w:r>
      <w:r w:rsidRPr="00443AD1">
        <w:rPr>
          <w:color w:val="000000"/>
          <w:shd w:val="clear" w:color="auto" w:fill="FFFFFF"/>
        </w:rPr>
        <w:t xml:space="preserve">obvious </w:t>
      </w:r>
      <w:r w:rsidRPr="00443AD1">
        <w:rPr>
          <w:rFonts w:eastAsia="Cambria"/>
          <w:color w:val="000000"/>
          <w:shd w:val="clear" w:color="auto" w:fill="FFFFFF"/>
        </w:rPr>
        <w:t xml:space="preserve">body movement, </w:t>
      </w:r>
      <w:r w:rsidRPr="00443AD1">
        <w:rPr>
          <w:color w:val="000000"/>
          <w:shd w:val="clear" w:color="auto" w:fill="FFFFFF"/>
        </w:rPr>
        <w:t xml:space="preserve">as well as the </w:t>
      </w:r>
      <w:r w:rsidRPr="00443AD1">
        <w:rPr>
          <w:rFonts w:eastAsia="宋体"/>
          <w:color w:val="000000"/>
          <w:kern w:val="0"/>
          <w:lang w:bidi="ar"/>
        </w:rPr>
        <w:t>MOAA/S</w:t>
      </w:r>
      <w:r w:rsidRPr="00443AD1">
        <w:rPr>
          <w:color w:val="000000"/>
        </w:rPr>
        <w:t xml:space="preserve"> was smaller than 3 points, </w:t>
      </w:r>
      <w:r w:rsidRPr="00443AD1">
        <w:rPr>
          <w:rFonts w:eastAsia="Cambria"/>
          <w:color w:val="000000"/>
          <w:shd w:val="clear" w:color="auto" w:fill="FFFFFF"/>
        </w:rPr>
        <w:t xml:space="preserve">the </w:t>
      </w:r>
      <w:r w:rsidRPr="00443AD1">
        <w:rPr>
          <w:color w:val="000000"/>
          <w:shd w:val="clear" w:color="auto" w:fill="FFFFFF"/>
        </w:rPr>
        <w:t>e</w:t>
      </w:r>
      <w:r w:rsidRPr="00443AD1">
        <w:rPr>
          <w:rFonts w:eastAsia="Cambria"/>
          <w:color w:val="000000"/>
          <w:shd w:val="clear" w:color="auto" w:fill="FFFFFF"/>
        </w:rPr>
        <w:t>ndoscop</w:t>
      </w:r>
      <w:r w:rsidRPr="00443AD1">
        <w:rPr>
          <w:color w:val="000000"/>
          <w:shd w:val="clear" w:color="auto" w:fill="FFFFFF"/>
        </w:rPr>
        <w:t>ist</w:t>
      </w:r>
      <w:r w:rsidRPr="00443AD1">
        <w:rPr>
          <w:rFonts w:eastAsia="Cambria"/>
          <w:color w:val="000000"/>
          <w:shd w:val="clear" w:color="auto" w:fill="FFFFFF"/>
        </w:rPr>
        <w:t xml:space="preserve"> began the </w:t>
      </w:r>
      <w:r w:rsidRPr="00443AD1">
        <w:rPr>
          <w:color w:val="000000"/>
        </w:rPr>
        <w:t>electronic colono</w:t>
      </w:r>
      <w:r w:rsidRPr="00443AD1">
        <w:rPr>
          <w:rFonts w:eastAsia="宋体"/>
          <w:color w:val="000000"/>
        </w:rPr>
        <w:t xml:space="preserve">scopy. </w:t>
      </w:r>
      <w:r w:rsidRPr="00443AD1">
        <w:rPr>
          <w:color w:val="000000"/>
        </w:rPr>
        <w:t xml:space="preserve">If the MOAA/S score was greater, </w:t>
      </w:r>
      <w:r w:rsidRPr="00443AD1">
        <w:t xml:space="preserve">remimazolam besylate </w:t>
      </w:r>
      <w:r w:rsidRPr="00443AD1">
        <w:rPr>
          <w:rFonts w:hint="eastAsia"/>
        </w:rPr>
        <w:t>(2.5</w:t>
      </w:r>
      <w:r w:rsidRPr="00443AD1">
        <w:t xml:space="preserve"> </w:t>
      </w:r>
      <w:r w:rsidRPr="00443AD1">
        <w:rPr>
          <w:rFonts w:hint="eastAsia"/>
        </w:rPr>
        <w:t>mg)</w:t>
      </w:r>
      <w:r w:rsidRPr="00443AD1">
        <w:rPr>
          <w:rFonts w:eastAsia="Times New Roman PSMT" w:hint="eastAsia"/>
          <w:color w:val="000000" w:themeColor="text1"/>
        </w:rPr>
        <w:t xml:space="preserve"> </w:t>
      </w:r>
      <w:r w:rsidRPr="00443AD1">
        <w:rPr>
          <w:rFonts w:eastAsia="Times New Roman PSMT"/>
          <w:color w:val="000000"/>
        </w:rPr>
        <w:t>was</w:t>
      </w:r>
      <w:r w:rsidRPr="00443AD1">
        <w:rPr>
          <w:color w:val="000000"/>
        </w:rPr>
        <w:t xml:space="preserve"> additionally a</w:t>
      </w:r>
      <w:r w:rsidRPr="00443AD1">
        <w:rPr>
          <w:color w:val="000000"/>
        </w:rPr>
        <w:t xml:space="preserve">dministered. </w:t>
      </w:r>
      <w:r w:rsidRPr="00443AD1">
        <w:rPr>
          <w:rFonts w:eastAsia="Cambria"/>
          <w:color w:val="212121"/>
          <w:shd w:val="clear" w:color="auto" w:fill="FFFFFF"/>
        </w:rPr>
        <w:t xml:space="preserve">Other perioperative security incidents were also recorded and treated in accordance with the clinical operation standards of Deyang People’s Hospital. </w:t>
      </w:r>
      <w:r w:rsidRPr="00443AD1">
        <w:rPr>
          <w:rFonts w:eastAsiaTheme="minorEastAsia"/>
          <w:color w:val="212121"/>
          <w:shd w:val="clear" w:color="auto" w:fill="FFFFFF"/>
        </w:rPr>
        <w:t>“</w:t>
      </w:r>
      <w:r w:rsidRPr="00443AD1">
        <w:rPr>
          <w:rFonts w:eastAsia="Cambria" w:hint="eastAsia"/>
          <w:color w:val="212121"/>
          <w:shd w:val="clear" w:color="auto" w:fill="FFFFFF"/>
        </w:rPr>
        <w:t>n</w:t>
      </w:r>
      <w:r w:rsidRPr="00443AD1">
        <w:rPr>
          <w:rFonts w:eastAsiaTheme="minorEastAsia"/>
          <w:color w:val="212121"/>
          <w:shd w:val="clear" w:color="auto" w:fill="FFFFFF"/>
        </w:rPr>
        <w:t>”</w:t>
      </w:r>
      <w:r w:rsidRPr="00443AD1">
        <w:rPr>
          <w:rFonts w:eastAsia="Cambria" w:hint="eastAsia"/>
          <w:color w:val="212121"/>
          <w:shd w:val="clear" w:color="auto" w:fill="FFFFFF"/>
        </w:rPr>
        <w:t xml:space="preserve"> represents the number of occurrence of this type of event.</w:t>
      </w:r>
    </w:p>
    <w:p w14:paraId="296A1548" w14:textId="6B521BAC" w:rsidR="00DB3457" w:rsidRPr="00443AD1" w:rsidRDefault="00443AD1">
      <w:pPr>
        <w:pStyle w:val="af3"/>
        <w:rPr>
          <w:rFonts w:eastAsiaTheme="minorEastAsia"/>
          <w:color w:val="000000"/>
          <w:lang w:bidi="ar"/>
        </w:rPr>
      </w:pPr>
      <w:r w:rsidRPr="00443AD1">
        <w:rPr>
          <w:rFonts w:eastAsia="宋体"/>
        </w:rPr>
        <w:t>Supplementary Table 2.</w:t>
      </w:r>
      <w:r w:rsidRPr="00443AD1">
        <w:rPr>
          <w:rFonts w:eastAsia="宋体"/>
        </w:rPr>
        <w:t xml:space="preserve"> </w:t>
      </w:r>
      <w:r w:rsidR="00A254F0" w:rsidRPr="00443AD1">
        <w:rPr>
          <w:rFonts w:eastAsia="宋体"/>
        </w:rPr>
        <w:t>The pilot experiment to detect the ideal induction dosage of remimazolam besylate for painless colonoscopy examination</w:t>
      </w:r>
      <w:r w:rsidRPr="00443AD1">
        <w:rPr>
          <w:rFonts w:eastAsia="宋体"/>
        </w:rPr>
        <w:t>.</w:t>
      </w:r>
    </w:p>
    <w:tbl>
      <w:tblPr>
        <w:tblStyle w:val="af0"/>
        <w:tblW w:w="9978" w:type="dxa"/>
        <w:jc w:val="center"/>
        <w:tblLayout w:type="fixed"/>
        <w:tblLook w:val="04A0" w:firstRow="1" w:lastRow="0" w:firstColumn="1" w:lastColumn="0" w:noHBand="0" w:noVBand="1"/>
      </w:tblPr>
      <w:tblGrid>
        <w:gridCol w:w="3609"/>
        <w:gridCol w:w="1246"/>
        <w:gridCol w:w="1310"/>
        <w:gridCol w:w="1213"/>
        <w:gridCol w:w="1354"/>
        <w:gridCol w:w="1246"/>
      </w:tblGrid>
      <w:tr w:rsidR="00DB3457" w:rsidRPr="00443AD1" w14:paraId="08B93F1C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39243F9E" w14:textId="777777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/>
                <w:color w:val="212121"/>
                <w:shd w:val="clear" w:color="auto" w:fill="FFFFFF"/>
              </w:rPr>
              <w:t>Observation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s</w:t>
            </w:r>
          </w:p>
        </w:tc>
        <w:tc>
          <w:tcPr>
            <w:tcW w:w="1246" w:type="dxa"/>
            <w:vAlign w:val="center"/>
          </w:tcPr>
          <w:p w14:paraId="3EA94FDD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0.1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 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mg/kg</w:t>
            </w:r>
          </w:p>
          <w:p w14:paraId="0069A55C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(n)</w:t>
            </w:r>
          </w:p>
        </w:tc>
        <w:tc>
          <w:tcPr>
            <w:tcW w:w="1310" w:type="dxa"/>
            <w:vAlign w:val="center"/>
          </w:tcPr>
          <w:p w14:paraId="6FF96641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0.15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 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mg/kg</w:t>
            </w:r>
          </w:p>
          <w:p w14:paraId="4DD4AF6B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(n)</w:t>
            </w:r>
          </w:p>
        </w:tc>
        <w:tc>
          <w:tcPr>
            <w:tcW w:w="1213" w:type="dxa"/>
            <w:vAlign w:val="center"/>
          </w:tcPr>
          <w:p w14:paraId="735A81FF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0.2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 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mg/kg</w:t>
            </w:r>
          </w:p>
          <w:p w14:paraId="723A0394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(n)</w:t>
            </w:r>
          </w:p>
        </w:tc>
        <w:tc>
          <w:tcPr>
            <w:tcW w:w="1354" w:type="dxa"/>
            <w:vAlign w:val="center"/>
          </w:tcPr>
          <w:p w14:paraId="36A82CFE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0.25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 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mg/kg</w:t>
            </w:r>
          </w:p>
          <w:p w14:paraId="6CD2D939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(n)</w:t>
            </w:r>
          </w:p>
        </w:tc>
        <w:tc>
          <w:tcPr>
            <w:tcW w:w="1246" w:type="dxa"/>
            <w:vAlign w:val="center"/>
          </w:tcPr>
          <w:p w14:paraId="6FE44E73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0.3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 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mg/kg</w:t>
            </w:r>
          </w:p>
          <w:p w14:paraId="24A27D9A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(n)</w:t>
            </w:r>
          </w:p>
        </w:tc>
      </w:tr>
      <w:tr w:rsidR="00DB3457" w:rsidRPr="00443AD1" w14:paraId="3112DF32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45B6D78F" w14:textId="777777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hint="eastAsia"/>
                <w:color w:val="000000" w:themeColor="text1"/>
                <w:kern w:val="0"/>
                <w:lang w:bidi="ar"/>
              </w:rPr>
              <w:t>I</w:t>
            </w:r>
            <w:r w:rsidRPr="00443AD1">
              <w:rPr>
                <w:color w:val="000000" w:themeColor="text1"/>
                <w:kern w:val="0"/>
                <w:lang w:bidi="ar"/>
              </w:rPr>
              <w:t>nduction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 time &gt;1 min</w:t>
            </w:r>
          </w:p>
        </w:tc>
        <w:tc>
          <w:tcPr>
            <w:tcW w:w="1246" w:type="dxa"/>
            <w:vAlign w:val="center"/>
          </w:tcPr>
          <w:p w14:paraId="1278603E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5</w:t>
            </w:r>
          </w:p>
        </w:tc>
        <w:tc>
          <w:tcPr>
            <w:tcW w:w="1310" w:type="dxa"/>
            <w:vAlign w:val="center"/>
          </w:tcPr>
          <w:p w14:paraId="2F10F574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213" w:type="dxa"/>
            <w:vAlign w:val="center"/>
          </w:tcPr>
          <w:p w14:paraId="38A52F32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54" w:type="dxa"/>
            <w:vAlign w:val="center"/>
          </w:tcPr>
          <w:p w14:paraId="341052A7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46" w:type="dxa"/>
            <w:vAlign w:val="center"/>
          </w:tcPr>
          <w:p w14:paraId="713FA110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</w:tr>
      <w:tr w:rsidR="00DB3457" w:rsidRPr="00443AD1" w14:paraId="666B95A7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3C0948B9" w14:textId="777777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Blood pressure drops by 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more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 than 30%</w:t>
            </w:r>
          </w:p>
        </w:tc>
        <w:tc>
          <w:tcPr>
            <w:tcW w:w="1246" w:type="dxa"/>
            <w:vAlign w:val="center"/>
          </w:tcPr>
          <w:p w14:paraId="4B37A697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10" w:type="dxa"/>
            <w:vAlign w:val="center"/>
          </w:tcPr>
          <w:p w14:paraId="30FED057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213" w:type="dxa"/>
            <w:vAlign w:val="center"/>
          </w:tcPr>
          <w:p w14:paraId="3A8B5925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3</w:t>
            </w:r>
          </w:p>
        </w:tc>
        <w:tc>
          <w:tcPr>
            <w:tcW w:w="1354" w:type="dxa"/>
            <w:vAlign w:val="center"/>
          </w:tcPr>
          <w:p w14:paraId="0EE7BB7C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4</w:t>
            </w:r>
          </w:p>
        </w:tc>
        <w:tc>
          <w:tcPr>
            <w:tcW w:w="1246" w:type="dxa"/>
            <w:vAlign w:val="center"/>
          </w:tcPr>
          <w:p w14:paraId="6B102BC2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5</w:t>
            </w:r>
          </w:p>
        </w:tc>
      </w:tr>
      <w:tr w:rsidR="00DB3457" w:rsidRPr="00443AD1" w14:paraId="03C89199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48592253" w14:textId="777777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/>
                <w:color w:val="212121"/>
                <w:shd w:val="clear" w:color="auto" w:fill="FFFFFF"/>
              </w:rPr>
              <w:t>Transient heart rate increase</w:t>
            </w:r>
          </w:p>
        </w:tc>
        <w:tc>
          <w:tcPr>
            <w:tcW w:w="1246" w:type="dxa"/>
            <w:vAlign w:val="center"/>
          </w:tcPr>
          <w:p w14:paraId="1E86B142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5</w:t>
            </w:r>
          </w:p>
        </w:tc>
        <w:tc>
          <w:tcPr>
            <w:tcW w:w="1310" w:type="dxa"/>
            <w:vAlign w:val="center"/>
          </w:tcPr>
          <w:p w14:paraId="304AE20E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213" w:type="dxa"/>
            <w:vAlign w:val="center"/>
          </w:tcPr>
          <w:p w14:paraId="43CF0BF3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54" w:type="dxa"/>
            <w:vAlign w:val="center"/>
          </w:tcPr>
          <w:p w14:paraId="790A5373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46" w:type="dxa"/>
            <w:vAlign w:val="center"/>
          </w:tcPr>
          <w:p w14:paraId="1C304B61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</w:tr>
      <w:tr w:rsidR="00DB3457" w:rsidRPr="00443AD1" w14:paraId="4FF109F7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40864764" w14:textId="777777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/>
                <w:color w:val="212121"/>
                <w:shd w:val="clear" w:color="auto" w:fill="FFFFFF"/>
              </w:rPr>
              <w:lastRenderedPageBreak/>
              <w:t>Intraoperative sobriety</w:t>
            </w:r>
          </w:p>
        </w:tc>
        <w:tc>
          <w:tcPr>
            <w:tcW w:w="1246" w:type="dxa"/>
            <w:vAlign w:val="center"/>
          </w:tcPr>
          <w:p w14:paraId="7A6D92A1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310" w:type="dxa"/>
            <w:vAlign w:val="center"/>
          </w:tcPr>
          <w:p w14:paraId="589F1962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13" w:type="dxa"/>
            <w:vAlign w:val="center"/>
          </w:tcPr>
          <w:p w14:paraId="6A9D97D8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54" w:type="dxa"/>
            <w:vAlign w:val="center"/>
          </w:tcPr>
          <w:p w14:paraId="3AD7321B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46" w:type="dxa"/>
            <w:vAlign w:val="center"/>
          </w:tcPr>
          <w:p w14:paraId="6CA9FA37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</w:tr>
      <w:tr w:rsidR="00DB3457" w:rsidRPr="00443AD1" w14:paraId="7A9A5879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6D18177A" w14:textId="47FC78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Kinetic 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>reaction</w:t>
            </w:r>
          </w:p>
        </w:tc>
        <w:tc>
          <w:tcPr>
            <w:tcW w:w="1246" w:type="dxa"/>
            <w:vAlign w:val="center"/>
          </w:tcPr>
          <w:p w14:paraId="40E55A2F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310" w:type="dxa"/>
            <w:vAlign w:val="center"/>
          </w:tcPr>
          <w:p w14:paraId="39C19710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13" w:type="dxa"/>
            <w:vAlign w:val="center"/>
          </w:tcPr>
          <w:p w14:paraId="52CD206C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54" w:type="dxa"/>
            <w:vAlign w:val="center"/>
          </w:tcPr>
          <w:p w14:paraId="2261A062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46" w:type="dxa"/>
            <w:vAlign w:val="center"/>
          </w:tcPr>
          <w:p w14:paraId="16529E94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</w:tr>
      <w:tr w:rsidR="00DB3457" w:rsidRPr="00443AD1" w14:paraId="08422437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0E410974" w14:textId="777777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A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>dditional medication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 xml:space="preserve"> with 5 min</w:t>
            </w:r>
          </w:p>
        </w:tc>
        <w:tc>
          <w:tcPr>
            <w:tcW w:w="1246" w:type="dxa"/>
            <w:vAlign w:val="center"/>
          </w:tcPr>
          <w:p w14:paraId="70146567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5</w:t>
            </w:r>
          </w:p>
        </w:tc>
        <w:tc>
          <w:tcPr>
            <w:tcW w:w="1310" w:type="dxa"/>
            <w:vAlign w:val="center"/>
          </w:tcPr>
          <w:p w14:paraId="59831E72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2</w:t>
            </w:r>
          </w:p>
        </w:tc>
        <w:tc>
          <w:tcPr>
            <w:tcW w:w="1213" w:type="dxa"/>
            <w:vAlign w:val="center"/>
          </w:tcPr>
          <w:p w14:paraId="1633E956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354" w:type="dxa"/>
            <w:vAlign w:val="center"/>
          </w:tcPr>
          <w:p w14:paraId="608B4DA0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46" w:type="dxa"/>
            <w:vAlign w:val="center"/>
          </w:tcPr>
          <w:p w14:paraId="5B2DD49B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</w:tr>
      <w:tr w:rsidR="00DB3457" w:rsidRPr="00443AD1" w14:paraId="57ED51E1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6C7406A7" w14:textId="777777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A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>pnea</w:t>
            </w:r>
          </w:p>
        </w:tc>
        <w:tc>
          <w:tcPr>
            <w:tcW w:w="1246" w:type="dxa"/>
            <w:vAlign w:val="center"/>
          </w:tcPr>
          <w:p w14:paraId="3A30291B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10" w:type="dxa"/>
            <w:vAlign w:val="center"/>
          </w:tcPr>
          <w:p w14:paraId="64A5D523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213" w:type="dxa"/>
            <w:vAlign w:val="center"/>
          </w:tcPr>
          <w:p w14:paraId="48EE81DF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2</w:t>
            </w:r>
          </w:p>
        </w:tc>
        <w:tc>
          <w:tcPr>
            <w:tcW w:w="1354" w:type="dxa"/>
            <w:vAlign w:val="center"/>
          </w:tcPr>
          <w:p w14:paraId="00F91FE8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3</w:t>
            </w:r>
          </w:p>
        </w:tc>
        <w:tc>
          <w:tcPr>
            <w:tcW w:w="1246" w:type="dxa"/>
            <w:vAlign w:val="center"/>
          </w:tcPr>
          <w:p w14:paraId="7049BD3A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4</w:t>
            </w:r>
          </w:p>
        </w:tc>
      </w:tr>
      <w:tr w:rsidR="00DB3457" w:rsidRPr="00443AD1" w14:paraId="1989CE79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466B1B33" w14:textId="74B69292" w:rsidR="00DB3457" w:rsidRPr="00443AD1" w:rsidRDefault="00443AD1" w:rsidP="00A254F0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/>
                <w:color w:val="212121"/>
                <w:shd w:val="clear" w:color="auto" w:fill="FFFFFF"/>
              </w:rPr>
              <w:t>Transient</w:t>
            </w: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 xml:space="preserve"> </w:t>
            </w:r>
            <w:r w:rsidR="00A254F0" w:rsidRPr="00443AD1">
              <w:rPr>
                <w:rFonts w:eastAsia="Cambria"/>
                <w:color w:val="212121"/>
                <w:shd w:val="clear" w:color="auto" w:fill="FFFFFF"/>
              </w:rPr>
              <w:t>S</w:t>
            </w:r>
            <w:r w:rsidR="00A254F0" w:rsidRPr="00443AD1">
              <w:rPr>
                <w:rFonts w:eastAsia="Cambria"/>
                <w:color w:val="212121"/>
                <w:shd w:val="clear" w:color="auto" w:fill="FFFFFF"/>
              </w:rPr>
              <w:t>p</w:t>
            </w:r>
            <w:r w:rsidR="00A254F0" w:rsidRPr="00443AD1">
              <w:rPr>
                <w:rFonts w:eastAsia="Cambria"/>
                <w:color w:val="212121"/>
                <w:shd w:val="clear" w:color="auto" w:fill="FFFFFF"/>
              </w:rPr>
              <w:t>O</w:t>
            </w:r>
            <w:r w:rsidR="00A254F0" w:rsidRPr="00443AD1">
              <w:rPr>
                <w:rFonts w:eastAsia="Cambria"/>
                <w:color w:val="212121"/>
                <w:shd w:val="clear" w:color="auto" w:fill="FFFFFF"/>
                <w:vertAlign w:val="subscript"/>
              </w:rPr>
              <w:t>2</w:t>
            </w:r>
            <w:r w:rsidRPr="00443AD1">
              <w:rPr>
                <w:rFonts w:eastAsia="Cambria"/>
                <w:color w:val="212121"/>
                <w:shd w:val="clear" w:color="auto" w:fill="FFFFFF"/>
              </w:rPr>
              <w:t xml:space="preserve"> decrease</w:t>
            </w:r>
          </w:p>
        </w:tc>
        <w:tc>
          <w:tcPr>
            <w:tcW w:w="1246" w:type="dxa"/>
            <w:vAlign w:val="center"/>
          </w:tcPr>
          <w:p w14:paraId="7F47B54F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10" w:type="dxa"/>
            <w:vAlign w:val="center"/>
          </w:tcPr>
          <w:p w14:paraId="7D0381F2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213" w:type="dxa"/>
            <w:vAlign w:val="center"/>
          </w:tcPr>
          <w:p w14:paraId="0A9D10A3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1</w:t>
            </w:r>
          </w:p>
        </w:tc>
        <w:tc>
          <w:tcPr>
            <w:tcW w:w="1354" w:type="dxa"/>
            <w:vAlign w:val="center"/>
          </w:tcPr>
          <w:p w14:paraId="4693EA19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4</w:t>
            </w:r>
          </w:p>
        </w:tc>
        <w:tc>
          <w:tcPr>
            <w:tcW w:w="1246" w:type="dxa"/>
            <w:vAlign w:val="center"/>
          </w:tcPr>
          <w:p w14:paraId="3388935B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4</w:t>
            </w:r>
          </w:p>
        </w:tc>
      </w:tr>
      <w:tr w:rsidR="00DB3457" w14:paraId="5B571328" w14:textId="77777777">
        <w:trPr>
          <w:trHeight w:val="20"/>
          <w:jc w:val="center"/>
        </w:trPr>
        <w:tc>
          <w:tcPr>
            <w:tcW w:w="3609" w:type="dxa"/>
            <w:vAlign w:val="center"/>
          </w:tcPr>
          <w:p w14:paraId="56C2A536" w14:textId="77777777" w:rsidR="00DB3457" w:rsidRPr="00443AD1" w:rsidRDefault="00443AD1">
            <w:pPr>
              <w:ind w:firstLineChars="0" w:firstLine="0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/>
                <w:color w:val="212121"/>
                <w:shd w:val="clear" w:color="auto" w:fill="FFFFFF"/>
              </w:rPr>
              <w:t>Emergency airway events</w:t>
            </w:r>
          </w:p>
        </w:tc>
        <w:tc>
          <w:tcPr>
            <w:tcW w:w="1246" w:type="dxa"/>
            <w:vAlign w:val="center"/>
          </w:tcPr>
          <w:p w14:paraId="0448FDBC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10" w:type="dxa"/>
            <w:vAlign w:val="center"/>
          </w:tcPr>
          <w:p w14:paraId="7F3AC519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13" w:type="dxa"/>
            <w:vAlign w:val="center"/>
          </w:tcPr>
          <w:p w14:paraId="0CA84BF1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354" w:type="dxa"/>
            <w:vAlign w:val="center"/>
          </w:tcPr>
          <w:p w14:paraId="2F7619C5" w14:textId="77777777" w:rsidR="00DB3457" w:rsidRPr="00443AD1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246" w:type="dxa"/>
            <w:vAlign w:val="center"/>
          </w:tcPr>
          <w:p w14:paraId="60C75D67" w14:textId="77777777" w:rsidR="00DB3457" w:rsidRDefault="00443AD1">
            <w:pPr>
              <w:ind w:firstLineChars="0" w:firstLine="0"/>
              <w:jc w:val="center"/>
              <w:rPr>
                <w:rFonts w:eastAsia="Cambria"/>
                <w:color w:val="212121"/>
                <w:shd w:val="clear" w:color="auto" w:fill="FFFFFF"/>
              </w:rPr>
            </w:pPr>
            <w:r w:rsidRPr="00443AD1">
              <w:rPr>
                <w:rFonts w:eastAsia="Cambria" w:hint="eastAsia"/>
                <w:color w:val="212121"/>
                <w:shd w:val="clear" w:color="auto" w:fill="FFFFFF"/>
              </w:rPr>
              <w:t>0</w:t>
            </w:r>
            <w:bookmarkStart w:id="1" w:name="_GoBack"/>
            <w:bookmarkEnd w:id="1"/>
          </w:p>
        </w:tc>
      </w:tr>
    </w:tbl>
    <w:p w14:paraId="3686BE19" w14:textId="77777777" w:rsidR="00DB3457" w:rsidRDefault="00DB3457">
      <w:pPr>
        <w:ind w:firstLine="420"/>
        <w:rPr>
          <w:rFonts w:eastAsiaTheme="minorEastAsia"/>
          <w:shd w:val="clear" w:color="auto" w:fill="FFFFFF"/>
        </w:rPr>
      </w:pPr>
    </w:p>
    <w:p w14:paraId="6A379361" w14:textId="77777777" w:rsidR="00DB3457" w:rsidRDefault="00DB3457">
      <w:pPr>
        <w:ind w:firstLine="420"/>
        <w:rPr>
          <w:rFonts w:eastAsiaTheme="minorEastAsia"/>
          <w:shd w:val="clear" w:color="auto" w:fill="FFFFFF"/>
        </w:rPr>
      </w:pPr>
    </w:p>
    <w:sectPr w:rsidR="00DB34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2B9EA" w14:textId="77777777" w:rsidR="00DB3457" w:rsidRDefault="00443AD1">
      <w:pPr>
        <w:ind w:firstLine="420"/>
      </w:pPr>
      <w:r>
        <w:separator/>
      </w:r>
    </w:p>
  </w:endnote>
  <w:endnote w:type="continuationSeparator" w:id="0">
    <w:p w14:paraId="2A02F5F7" w14:textId="77777777" w:rsidR="00DB3457" w:rsidRDefault="00443AD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-Identity-H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PSMT">
    <w:altName w:val="宋体"/>
    <w:charset w:val="86"/>
    <w:family w:val="roma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E307E" w14:textId="77777777" w:rsidR="00DB3457" w:rsidRDefault="00DB3457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611162"/>
    </w:sdtPr>
    <w:sdtEndPr/>
    <w:sdtContent>
      <w:p w14:paraId="61381C0D" w14:textId="7365CBE2" w:rsidR="00DB3457" w:rsidRDefault="00443AD1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3AD1">
          <w:rPr>
            <w:noProof/>
            <w:lang w:val="zh-CN"/>
          </w:rPr>
          <w:t>1</w:t>
        </w:r>
        <w:r>
          <w:fldChar w:fldCharType="end"/>
        </w:r>
      </w:p>
    </w:sdtContent>
  </w:sdt>
  <w:p w14:paraId="4098FBDC" w14:textId="77777777" w:rsidR="00DB3457" w:rsidRDefault="00DB3457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5C40A" w14:textId="77777777" w:rsidR="00DB3457" w:rsidRDefault="00DB3457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75233" w14:textId="77777777" w:rsidR="00DB3457" w:rsidRDefault="00443AD1">
      <w:pPr>
        <w:ind w:firstLine="420"/>
      </w:pPr>
      <w:r>
        <w:separator/>
      </w:r>
    </w:p>
  </w:footnote>
  <w:footnote w:type="continuationSeparator" w:id="0">
    <w:p w14:paraId="4F19551B" w14:textId="77777777" w:rsidR="00DB3457" w:rsidRDefault="00443AD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C3920" w14:textId="77777777" w:rsidR="00DB3457" w:rsidRDefault="00DB3457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11F2E" w14:textId="77777777" w:rsidR="00DB3457" w:rsidRDefault="00DB3457">
    <w:pPr>
      <w:pStyle w:val="ab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65C02" w14:textId="77777777" w:rsidR="00DB3457" w:rsidRDefault="00DB3457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4D661A69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revisionView w:formatting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Y_MEDREF_DOCUID" w:val="{99D02E2B-4EB6-4BEB-919E-3C4322BF4FE6}"/>
    <w:docVar w:name="KY_MEDREF_VERSION" w:val="3"/>
  </w:docVars>
  <w:rsids>
    <w:rsidRoot w:val="00234C14"/>
    <w:rsid w:val="001809C2"/>
    <w:rsid w:val="00234C14"/>
    <w:rsid w:val="00283C86"/>
    <w:rsid w:val="00443AD1"/>
    <w:rsid w:val="00480BCD"/>
    <w:rsid w:val="00503EBF"/>
    <w:rsid w:val="006D27DD"/>
    <w:rsid w:val="00755594"/>
    <w:rsid w:val="009123E7"/>
    <w:rsid w:val="009C70F2"/>
    <w:rsid w:val="009E5B3E"/>
    <w:rsid w:val="00A254F0"/>
    <w:rsid w:val="00B035DA"/>
    <w:rsid w:val="00B113E1"/>
    <w:rsid w:val="00BA0978"/>
    <w:rsid w:val="00D0442A"/>
    <w:rsid w:val="00D0596D"/>
    <w:rsid w:val="00DB3457"/>
    <w:rsid w:val="06D87DBF"/>
    <w:rsid w:val="0A1E3EB4"/>
    <w:rsid w:val="13370CE3"/>
    <w:rsid w:val="18FC34FE"/>
    <w:rsid w:val="28DF17A9"/>
    <w:rsid w:val="413F060F"/>
    <w:rsid w:val="4B4E6E91"/>
    <w:rsid w:val="50125E3D"/>
    <w:rsid w:val="59C503C4"/>
    <w:rsid w:val="5BED0FA8"/>
    <w:rsid w:val="5CE1126F"/>
    <w:rsid w:val="705F0C05"/>
    <w:rsid w:val="7C96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9A184"/>
  <w15:docId w15:val="{29202CE1-1284-4955-ABDB-655853BE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annotation text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line number" w:uiPriority="99" w:unhideWhenUsed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1"/>
    <w:qFormat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autoRedefine/>
    <w:uiPriority w:val="9"/>
    <w:qFormat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autoRedefine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autoRedefine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autoRedefine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link w:val="a6"/>
    <w:autoRedefine/>
    <w:uiPriority w:val="1"/>
    <w:qFormat/>
    <w:pPr>
      <w:autoSpaceDE w:val="0"/>
      <w:autoSpaceDN w:val="0"/>
      <w:adjustRightInd w:val="0"/>
      <w:ind w:firstLine="420"/>
    </w:pPr>
    <w:rPr>
      <w:kern w:val="0"/>
    </w:rPr>
  </w:style>
  <w:style w:type="paragraph" w:styleId="a7">
    <w:name w:val="Balloon Text"/>
    <w:basedOn w:val="a"/>
    <w:link w:val="a8"/>
    <w:autoRedefine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autoRedefine/>
    <w:uiPriority w:val="99"/>
    <w:unhideWhenUsed/>
    <w:pPr>
      <w:spacing w:before="100" w:beforeAutospacing="1" w:after="100" w:afterAutospacing="1"/>
    </w:pPr>
    <w:rPr>
      <w:lang w:eastAsia="en-US"/>
    </w:rPr>
  </w:style>
  <w:style w:type="paragraph" w:styleId="ae">
    <w:name w:val="annotation subject"/>
    <w:basedOn w:val="a3"/>
    <w:next w:val="a3"/>
    <w:link w:val="af"/>
    <w:qFormat/>
    <w:rPr>
      <w:b/>
      <w:bCs/>
    </w:rPr>
  </w:style>
  <w:style w:type="table" w:styleId="af0">
    <w:name w:val="Table Grid"/>
    <w:basedOn w:val="a1"/>
    <w:autoRedefine/>
    <w:uiPriority w:val="5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autoRedefine/>
    <w:uiPriority w:val="99"/>
    <w:unhideWhenUsed/>
  </w:style>
  <w:style w:type="character" w:styleId="af2">
    <w:name w:val="annotation reference"/>
    <w:basedOn w:val="a0"/>
    <w:autoRedefine/>
    <w:rPr>
      <w:sz w:val="21"/>
      <w:szCs w:val="21"/>
    </w:rPr>
  </w:style>
  <w:style w:type="character" w:customStyle="1" w:styleId="ac">
    <w:name w:val="页眉 字符"/>
    <w:link w:val="ab"/>
    <w:uiPriority w:val="99"/>
    <w:qFormat/>
    <w:rPr>
      <w:rFonts w:ascii="Times New Roman" w:eastAsia="Times New Roman" w:hAnsi="Times New Roman" w:cs="Times New Roman"/>
      <w:kern w:val="2"/>
      <w:sz w:val="18"/>
      <w:szCs w:val="18"/>
    </w:rPr>
  </w:style>
  <w:style w:type="character" w:customStyle="1" w:styleId="aa">
    <w:name w:val="页脚 字符"/>
    <w:link w:val="a9"/>
    <w:autoRedefine/>
    <w:uiPriority w:val="99"/>
    <w:qFormat/>
    <w:rPr>
      <w:rFonts w:ascii="Times New Roman" w:eastAsia="Times New Roman" w:hAnsi="Times New Roman" w:cs="Times New Roman"/>
      <w:kern w:val="2"/>
      <w:sz w:val="18"/>
      <w:szCs w:val="18"/>
    </w:rPr>
  </w:style>
  <w:style w:type="character" w:customStyle="1" w:styleId="10">
    <w:name w:val="标题 1 字符"/>
    <w:link w:val="1"/>
    <w:autoRedefine/>
    <w:uiPriority w:val="1"/>
    <w:qFormat/>
    <w:rPr>
      <w:rFonts w:ascii="Times New Roman" w:eastAsia="Times New Roman" w:hAnsi="Times New Roman" w:cs="Book Antiqua"/>
      <w:b/>
      <w:bCs/>
      <w:sz w:val="24"/>
    </w:rPr>
  </w:style>
  <w:style w:type="character" w:customStyle="1" w:styleId="20">
    <w:name w:val="标题 2 字符"/>
    <w:link w:val="2"/>
    <w:uiPriority w:val="9"/>
    <w:qFormat/>
    <w:rPr>
      <w:rFonts w:ascii="Times New Roman" w:eastAsia="Times New Roman" w:hAnsi="Times New Roman" w:cs="Times New Roman"/>
      <w:b/>
      <w:bCs/>
      <w:i/>
      <w:kern w:val="2"/>
      <w:sz w:val="22"/>
      <w:szCs w:val="21"/>
    </w:rPr>
  </w:style>
  <w:style w:type="character" w:customStyle="1" w:styleId="30">
    <w:name w:val="标题 3 字符"/>
    <w:link w:val="3"/>
    <w:uiPriority w:val="9"/>
    <w:qFormat/>
    <w:rPr>
      <w:rFonts w:ascii="Times New Roman" w:eastAsia="Times New Roman" w:hAnsi="Times New Roman" w:cs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autoRedefine/>
    <w:uiPriority w:val="9"/>
    <w:qFormat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Pr>
      <w:rFonts w:ascii="等线 Light" w:eastAsia="等线 Light" w:hAnsi="等线 Light" w:cs="Times New Roman"/>
      <w:b/>
      <w:bCs/>
      <w:kern w:val="2"/>
      <w:sz w:val="24"/>
      <w:szCs w:val="24"/>
    </w:rPr>
  </w:style>
  <w:style w:type="character" w:customStyle="1" w:styleId="70">
    <w:name w:val="标题 7 字符"/>
    <w:link w:val="7"/>
    <w:autoRedefine/>
    <w:uiPriority w:val="9"/>
    <w:qFormat/>
    <w:rPr>
      <w:rFonts w:ascii="Times New Roman" w:eastAsia="Times New Roman" w:hAnsi="Times New Roman" w:cs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Pr>
      <w:rFonts w:ascii="等线 Light" w:eastAsia="等线 Light" w:hAnsi="等线 Light" w:cs="Times New Roman"/>
      <w:kern w:val="2"/>
      <w:sz w:val="24"/>
      <w:szCs w:val="24"/>
    </w:rPr>
  </w:style>
  <w:style w:type="character" w:customStyle="1" w:styleId="90">
    <w:name w:val="标题 9 字符"/>
    <w:link w:val="9"/>
    <w:autoRedefine/>
    <w:uiPriority w:val="9"/>
    <w:semiHidden/>
    <w:qFormat/>
    <w:rPr>
      <w:rFonts w:ascii="等线 Light" w:eastAsia="等线 Light" w:hAnsi="等线 Light" w:cs="Times New Roman"/>
      <w:kern w:val="2"/>
      <w:sz w:val="21"/>
      <w:szCs w:val="21"/>
    </w:rPr>
  </w:style>
  <w:style w:type="paragraph" w:customStyle="1" w:styleId="af3">
    <w:name w:val="表题"/>
    <w:basedOn w:val="a"/>
    <w:autoRedefine/>
    <w:qFormat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f4">
    <w:name w:val="表注"/>
    <w:basedOn w:val="af3"/>
    <w:autoRedefine/>
    <w:qFormat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5">
    <w:name w:val="参考文献"/>
    <w:basedOn w:val="a"/>
    <w:autoRedefine/>
    <w:qFormat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pPr>
      <w:ind w:firstLineChars="0" w:firstLine="0"/>
    </w:pPr>
  </w:style>
  <w:style w:type="paragraph" w:customStyle="1" w:styleId="af8">
    <w:name w:val="机构信息"/>
    <w:basedOn w:val="a"/>
    <w:link w:val="af9"/>
    <w:autoRedefine/>
    <w:qFormat/>
    <w:pPr>
      <w:ind w:firstLineChars="0" w:firstLine="0"/>
    </w:pPr>
    <w:rPr>
      <w:i/>
    </w:rPr>
  </w:style>
  <w:style w:type="character" w:customStyle="1" w:styleId="af9">
    <w:name w:val="机构信息 字符"/>
    <w:link w:val="af8"/>
    <w:autoRedefine/>
    <w:rPr>
      <w:rFonts w:ascii="Times New Roman" w:eastAsia="Times New Roman" w:hAnsi="Times New Roman" w:cs="Times New Roman"/>
      <w:i/>
      <w:kern w:val="2"/>
      <w:sz w:val="21"/>
      <w:szCs w:val="21"/>
    </w:rPr>
  </w:style>
  <w:style w:type="paragraph" w:customStyle="1" w:styleId="afa">
    <w:name w:val="接收日期"/>
    <w:basedOn w:val="a"/>
    <w:autoRedefine/>
    <w:qFormat/>
    <w:pPr>
      <w:ind w:firstLineChars="0" w:firstLine="0"/>
    </w:pPr>
  </w:style>
  <w:style w:type="paragraph" w:customStyle="1" w:styleId="afb">
    <w:name w:val="通讯作者"/>
    <w:basedOn w:val="a"/>
    <w:autoRedefine/>
    <w:qFormat/>
    <w:pPr>
      <w:ind w:firstLineChars="0" w:firstLine="0"/>
    </w:pPr>
  </w:style>
  <w:style w:type="paragraph" w:customStyle="1" w:styleId="afc">
    <w:name w:val="图注"/>
    <w:basedOn w:val="af4"/>
    <w:autoRedefine/>
    <w:qFormat/>
  </w:style>
  <w:style w:type="paragraph" w:customStyle="1" w:styleId="afd">
    <w:name w:val="文章标题"/>
    <w:basedOn w:val="a"/>
    <w:link w:val="afe"/>
    <w:autoRedefine/>
    <w:qFormat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e">
    <w:name w:val="文章标题 字符"/>
    <w:link w:val="afd"/>
    <w:autoRedefine/>
    <w:qFormat/>
    <w:rPr>
      <w:rFonts w:ascii="Times New Roman" w:eastAsia="Times New Roman" w:hAnsi="Times New Roman" w:cs="Times New Roman"/>
      <w:b/>
      <w:bCs/>
      <w:spacing w:val="-8"/>
      <w:kern w:val="2"/>
      <w:sz w:val="36"/>
      <w:szCs w:val="36"/>
    </w:rPr>
  </w:style>
  <w:style w:type="paragraph" w:customStyle="1" w:styleId="aff">
    <w:name w:val="文章内容"/>
    <w:basedOn w:val="a"/>
    <w:link w:val="aff0"/>
    <w:autoRedefine/>
    <w:pPr>
      <w:ind w:firstLine="420"/>
    </w:pPr>
    <w:rPr>
      <w:color w:val="000000"/>
    </w:rPr>
  </w:style>
  <w:style w:type="character" w:customStyle="1" w:styleId="aff0">
    <w:name w:val="文章内容 字符"/>
    <w:link w:val="aff"/>
    <w:rPr>
      <w:rFonts w:ascii="Times New Roman" w:eastAsia="Times New Roman" w:hAnsi="Times New Roman" w:cs="Times New Roman"/>
      <w:color w:val="000000"/>
      <w:kern w:val="2"/>
      <w:sz w:val="21"/>
      <w:szCs w:val="21"/>
    </w:rPr>
  </w:style>
  <w:style w:type="paragraph" w:customStyle="1" w:styleId="aff1">
    <w:name w:val="摘要"/>
    <w:basedOn w:val="a"/>
    <w:autoRedefine/>
    <w:qFormat/>
    <w:pPr>
      <w:ind w:firstLineChars="0" w:firstLine="0"/>
    </w:pPr>
  </w:style>
  <w:style w:type="character" w:styleId="aff2">
    <w:name w:val="Placeholder Text"/>
    <w:uiPriority w:val="99"/>
    <w:semiHidden/>
    <w:rPr>
      <w:color w:val="808080"/>
    </w:rPr>
  </w:style>
  <w:style w:type="character" w:customStyle="1" w:styleId="a6">
    <w:name w:val="正文文本 字符"/>
    <w:link w:val="a5"/>
    <w:uiPriority w:val="1"/>
    <w:rPr>
      <w:rFonts w:ascii="Times New Roman" w:eastAsia="Times New Roman" w:hAnsi="Times New Roman" w:cs="Times New Roman"/>
      <w:sz w:val="21"/>
      <w:szCs w:val="21"/>
    </w:rPr>
  </w:style>
  <w:style w:type="paragraph" w:customStyle="1" w:styleId="aff3">
    <w:name w:val="致谢部分"/>
    <w:basedOn w:val="a5"/>
    <w:link w:val="aff4"/>
    <w:autoRedefine/>
    <w:qFormat/>
    <w:pPr>
      <w:ind w:firstLineChars="0" w:firstLine="0"/>
    </w:pPr>
    <w:rPr>
      <w:b/>
      <w:sz w:val="24"/>
      <w:szCs w:val="24"/>
    </w:rPr>
  </w:style>
  <w:style w:type="character" w:customStyle="1" w:styleId="aff4">
    <w:name w:val="致谢部分 字符"/>
    <w:link w:val="aff3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f5">
    <w:name w:val="作者信息"/>
    <w:basedOn w:val="a"/>
    <w:autoRedefine/>
    <w:qFormat/>
    <w:pPr>
      <w:ind w:firstLineChars="0" w:firstLine="0"/>
    </w:pPr>
  </w:style>
  <w:style w:type="character" w:customStyle="1" w:styleId="a4">
    <w:name w:val="批注文字 字符"/>
    <w:basedOn w:val="a0"/>
    <w:link w:val="a3"/>
    <w:rPr>
      <w:rFonts w:ascii="Times New Roman" w:eastAsia="Times New Roman" w:hAnsi="Times New Roman" w:cs="Times New Roman"/>
      <w:kern w:val="2"/>
      <w:sz w:val="21"/>
      <w:szCs w:val="21"/>
    </w:rPr>
  </w:style>
  <w:style w:type="character" w:customStyle="1" w:styleId="af">
    <w:name w:val="批注主题 字符"/>
    <w:basedOn w:val="a4"/>
    <w:link w:val="ae"/>
    <w:rPr>
      <w:rFonts w:ascii="Times New Roman" w:eastAsia="Times New Roman" w:hAnsi="Times New Roman" w:cs="Times New Roman"/>
      <w:b/>
      <w:bCs/>
      <w:kern w:val="2"/>
      <w:sz w:val="21"/>
      <w:szCs w:val="21"/>
    </w:rPr>
  </w:style>
  <w:style w:type="character" w:customStyle="1" w:styleId="a8">
    <w:name w:val="批注框文本 字符"/>
    <w:basedOn w:val="a0"/>
    <w:link w:val="a7"/>
    <w:rPr>
      <w:rFonts w:ascii="Times New Roman" w:eastAsia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2241</Characters>
  <Application>Microsoft Office Word</Application>
  <DocSecurity>0</DocSecurity>
  <Lines>747</Lines>
  <Paragraphs>201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10394</dc:creator>
  <cp:lastModifiedBy>editor</cp:lastModifiedBy>
  <cp:revision>20</cp:revision>
  <dcterms:created xsi:type="dcterms:W3CDTF">2023-07-08T06:36:00Z</dcterms:created>
  <dcterms:modified xsi:type="dcterms:W3CDTF">2024-04-10T01:33:00Z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66F9216A2DFD4DB5B3441C55A0A8A26D_12</vt:lpwstr>
  </property>
</Properties>
</file>