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6CC4" w14:textId="44F27E46" w:rsidR="00376B94" w:rsidRPr="00823B6E" w:rsidRDefault="00376B94" w:rsidP="008F2455">
      <w:pPr>
        <w:pStyle w:val="aff"/>
      </w:pPr>
      <w:r w:rsidRPr="00823B6E">
        <w:t>Supplementary material</w:t>
      </w:r>
    </w:p>
    <w:p w14:paraId="653BE2E3" w14:textId="203F22F0" w:rsidR="00867583" w:rsidRPr="00FA7315" w:rsidRDefault="00867583" w:rsidP="008F2455">
      <w:pPr>
        <w:ind w:firstLine="420"/>
        <w:rPr>
          <w:rFonts w:eastAsiaTheme="minorEastAsia"/>
        </w:rPr>
      </w:pPr>
    </w:p>
    <w:p w14:paraId="312C0E55" w14:textId="3EF0D6B2" w:rsidR="008F2455" w:rsidRPr="00FA7315" w:rsidRDefault="008F2455" w:rsidP="008F2455">
      <w:pPr>
        <w:ind w:firstLine="420"/>
        <w:rPr>
          <w:rFonts w:eastAsiaTheme="minorEastAsia"/>
        </w:rPr>
      </w:pPr>
    </w:p>
    <w:p w14:paraId="1DA1A9DE" w14:textId="7C50B96F" w:rsidR="00376B94" w:rsidRPr="00823B6E" w:rsidRDefault="00376B94" w:rsidP="008F2455">
      <w:pPr>
        <w:pStyle w:val="af3"/>
        <w:rPr>
          <w:lang w:val="en-GB"/>
        </w:rPr>
      </w:pPr>
      <w:r w:rsidRPr="00823B6E">
        <w:rPr>
          <w:bCs/>
          <w:lang w:val="en-GB"/>
        </w:rPr>
        <w:t>Supplemental Table 1</w:t>
      </w:r>
      <w:r w:rsidRPr="00823B6E">
        <w:rPr>
          <w:lang w:val="en-GB"/>
        </w:rPr>
        <w:t xml:space="preserve">. List of the 23 </w:t>
      </w:r>
      <w:r w:rsidR="008F2455" w:rsidRPr="00823B6E">
        <w:rPr>
          <w:lang w:val="en-GB"/>
        </w:rPr>
        <w:t>randomized controlled trials p</w:t>
      </w:r>
      <w:r w:rsidRPr="00823B6E">
        <w:rPr>
          <w:lang w:val="en-GB"/>
        </w:rPr>
        <w:t>ublished in the New England Journal of Medicine</w:t>
      </w:r>
      <w:r w:rsidR="008F2455">
        <w:rPr>
          <w:lang w:val="en-GB"/>
        </w:rPr>
        <w:t>.</w:t>
      </w:r>
    </w:p>
    <w:tbl>
      <w:tblPr>
        <w:tblStyle w:val="ae"/>
        <w:tblW w:w="9990" w:type="dxa"/>
        <w:jc w:val="center"/>
        <w:tblLook w:val="04A0" w:firstRow="1" w:lastRow="0" w:firstColumn="1" w:lastColumn="0" w:noHBand="0" w:noVBand="1"/>
      </w:tblPr>
      <w:tblGrid>
        <w:gridCol w:w="1985"/>
        <w:gridCol w:w="992"/>
        <w:gridCol w:w="7013"/>
      </w:tblGrid>
      <w:tr w:rsidR="00376B94" w:rsidRPr="008F2455" w14:paraId="2AD2CD3F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5DFE630B" w14:textId="77777777" w:rsidR="00376B94" w:rsidRPr="008F2455" w:rsidRDefault="00376B94" w:rsidP="005D2D74">
            <w:pPr>
              <w:ind w:firstLineChars="0" w:firstLine="0"/>
              <w:jc w:val="left"/>
              <w:rPr>
                <w:bCs/>
              </w:rPr>
            </w:pPr>
            <w:r w:rsidRPr="008F2455">
              <w:rPr>
                <w:bCs/>
              </w:rPr>
              <w:t>First Author</w:t>
            </w:r>
          </w:p>
        </w:tc>
        <w:tc>
          <w:tcPr>
            <w:tcW w:w="992" w:type="dxa"/>
            <w:noWrap/>
            <w:vAlign w:val="center"/>
            <w:hideMark/>
          </w:tcPr>
          <w:p w14:paraId="032A7C16" w14:textId="77777777" w:rsidR="00376B94" w:rsidRPr="008F2455" w:rsidRDefault="00376B94" w:rsidP="005D2D74">
            <w:pPr>
              <w:ind w:firstLineChars="0" w:firstLine="0"/>
              <w:jc w:val="center"/>
              <w:rPr>
                <w:bCs/>
              </w:rPr>
            </w:pPr>
            <w:r w:rsidRPr="008F2455">
              <w:rPr>
                <w:bCs/>
              </w:rPr>
              <w:t>Year</w:t>
            </w:r>
          </w:p>
        </w:tc>
        <w:tc>
          <w:tcPr>
            <w:tcW w:w="7013" w:type="dxa"/>
            <w:noWrap/>
            <w:vAlign w:val="center"/>
            <w:hideMark/>
          </w:tcPr>
          <w:p w14:paraId="0FE6F85D" w14:textId="77777777" w:rsidR="00376B94" w:rsidRPr="008F2455" w:rsidRDefault="00376B94" w:rsidP="005D2D74">
            <w:pPr>
              <w:ind w:firstLineChars="0" w:firstLine="0"/>
              <w:jc w:val="center"/>
              <w:rPr>
                <w:bCs/>
              </w:rPr>
            </w:pPr>
            <w:r w:rsidRPr="008F2455">
              <w:rPr>
                <w:bCs/>
              </w:rPr>
              <w:t>Title</w:t>
            </w:r>
          </w:p>
        </w:tc>
      </w:tr>
      <w:tr w:rsidR="00376B94" w:rsidRPr="008F2455" w14:paraId="5CE53C47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7418C2F9" w14:textId="77777777" w:rsidR="00376B94" w:rsidRPr="008F2455" w:rsidRDefault="00376B94" w:rsidP="005D2D74">
            <w:pPr>
              <w:ind w:firstLineChars="0" w:firstLine="0"/>
              <w:jc w:val="left"/>
            </w:pPr>
            <w:proofErr w:type="spellStart"/>
            <w:r w:rsidRPr="008F2455">
              <w:t>Finfer</w:t>
            </w:r>
            <w:proofErr w:type="spellEnd"/>
            <w:r w:rsidRPr="008F2455">
              <w:t xml:space="preserve"> S</w:t>
            </w:r>
          </w:p>
        </w:tc>
        <w:tc>
          <w:tcPr>
            <w:tcW w:w="992" w:type="dxa"/>
            <w:noWrap/>
            <w:vAlign w:val="center"/>
            <w:hideMark/>
          </w:tcPr>
          <w:p w14:paraId="74FCC988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2004</w:t>
            </w:r>
          </w:p>
        </w:tc>
        <w:tc>
          <w:tcPr>
            <w:tcW w:w="7013" w:type="dxa"/>
            <w:noWrap/>
            <w:vAlign w:val="center"/>
            <w:hideMark/>
          </w:tcPr>
          <w:p w14:paraId="20CC6902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A comparison of albumin and saline for fluid resuscitation in the intensive care unit</w:t>
            </w:r>
          </w:p>
        </w:tc>
      </w:tr>
      <w:tr w:rsidR="00376B94" w:rsidRPr="008F2455" w14:paraId="4362B7CD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614665BA" w14:textId="77777777" w:rsidR="00376B94" w:rsidRPr="008F2455" w:rsidRDefault="00376B94" w:rsidP="005D2D74">
            <w:pPr>
              <w:ind w:firstLineChars="0" w:firstLine="0"/>
              <w:jc w:val="left"/>
            </w:pPr>
            <w:proofErr w:type="spellStart"/>
            <w:r w:rsidRPr="008F2455">
              <w:t>Mynurg</w:t>
            </w:r>
            <w:proofErr w:type="spellEnd"/>
            <w:r w:rsidRPr="008F2455">
              <w:t xml:space="preserve"> J</w:t>
            </w:r>
          </w:p>
        </w:tc>
        <w:tc>
          <w:tcPr>
            <w:tcW w:w="992" w:type="dxa"/>
            <w:noWrap/>
            <w:vAlign w:val="center"/>
            <w:hideMark/>
          </w:tcPr>
          <w:p w14:paraId="64B98D06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2007</w:t>
            </w:r>
          </w:p>
        </w:tc>
        <w:tc>
          <w:tcPr>
            <w:tcW w:w="7013" w:type="dxa"/>
            <w:noWrap/>
            <w:vAlign w:val="center"/>
            <w:hideMark/>
          </w:tcPr>
          <w:p w14:paraId="3D641411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Saline or albumin for fluid resuscitation in patients with traumatic brain injury</w:t>
            </w:r>
          </w:p>
        </w:tc>
      </w:tr>
      <w:tr w:rsidR="00376B94" w:rsidRPr="008F2455" w14:paraId="3C6383DC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3D321554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Bellomo R</w:t>
            </w:r>
          </w:p>
        </w:tc>
        <w:tc>
          <w:tcPr>
            <w:tcW w:w="992" w:type="dxa"/>
            <w:noWrap/>
            <w:vAlign w:val="center"/>
            <w:hideMark/>
          </w:tcPr>
          <w:p w14:paraId="456919E5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2009</w:t>
            </w:r>
          </w:p>
        </w:tc>
        <w:tc>
          <w:tcPr>
            <w:tcW w:w="7013" w:type="dxa"/>
            <w:noWrap/>
            <w:vAlign w:val="center"/>
            <w:hideMark/>
          </w:tcPr>
          <w:p w14:paraId="6C1352FC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Intensity of continuous renal-replacement therapy in critically ill patients</w:t>
            </w:r>
          </w:p>
        </w:tc>
      </w:tr>
      <w:tr w:rsidR="00376B94" w:rsidRPr="008F2455" w14:paraId="2C008BF2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50C66191" w14:textId="77777777" w:rsidR="00376B94" w:rsidRPr="008F2455" w:rsidRDefault="00376B94" w:rsidP="005D2D74">
            <w:pPr>
              <w:ind w:firstLineChars="0" w:firstLine="0"/>
              <w:jc w:val="left"/>
            </w:pPr>
            <w:proofErr w:type="spellStart"/>
            <w:r w:rsidRPr="008F2455">
              <w:t>Finfer</w:t>
            </w:r>
            <w:proofErr w:type="spellEnd"/>
            <w:r w:rsidRPr="008F2455">
              <w:t xml:space="preserve"> S</w:t>
            </w:r>
          </w:p>
        </w:tc>
        <w:tc>
          <w:tcPr>
            <w:tcW w:w="992" w:type="dxa"/>
            <w:noWrap/>
            <w:vAlign w:val="center"/>
            <w:hideMark/>
          </w:tcPr>
          <w:p w14:paraId="6599DEED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2009</w:t>
            </w:r>
          </w:p>
        </w:tc>
        <w:tc>
          <w:tcPr>
            <w:tcW w:w="7013" w:type="dxa"/>
            <w:noWrap/>
            <w:vAlign w:val="center"/>
            <w:hideMark/>
          </w:tcPr>
          <w:p w14:paraId="5B0A0F79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Intensive versus conventional glucose control in critically ill patients</w:t>
            </w:r>
          </w:p>
        </w:tc>
      </w:tr>
      <w:tr w:rsidR="00376B94" w:rsidRPr="008F2455" w14:paraId="2B2A19DC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2C05877A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Myburgh JA</w:t>
            </w:r>
          </w:p>
        </w:tc>
        <w:tc>
          <w:tcPr>
            <w:tcW w:w="992" w:type="dxa"/>
            <w:noWrap/>
            <w:vAlign w:val="center"/>
            <w:hideMark/>
          </w:tcPr>
          <w:p w14:paraId="6B2B0E83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2012</w:t>
            </w:r>
          </w:p>
        </w:tc>
        <w:tc>
          <w:tcPr>
            <w:tcW w:w="7013" w:type="dxa"/>
            <w:noWrap/>
            <w:vAlign w:val="center"/>
            <w:hideMark/>
          </w:tcPr>
          <w:p w14:paraId="6DD8A475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Hydroxyethyl starch or saline for fluid resuscitation in intensive care</w:t>
            </w:r>
          </w:p>
        </w:tc>
      </w:tr>
      <w:tr w:rsidR="00376B94" w:rsidRPr="008F2455" w14:paraId="3FCEE9A6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092EE26B" w14:textId="77777777" w:rsidR="00376B94" w:rsidRPr="008F2455" w:rsidRDefault="00376B94" w:rsidP="005D2D74">
            <w:pPr>
              <w:ind w:firstLineChars="0" w:firstLine="0"/>
              <w:jc w:val="left"/>
            </w:pPr>
            <w:proofErr w:type="spellStart"/>
            <w:r w:rsidRPr="008F2455">
              <w:t>Finfer</w:t>
            </w:r>
            <w:proofErr w:type="spellEnd"/>
            <w:r w:rsidRPr="008F2455">
              <w:t xml:space="preserve"> S</w:t>
            </w:r>
          </w:p>
        </w:tc>
        <w:tc>
          <w:tcPr>
            <w:tcW w:w="992" w:type="dxa"/>
            <w:noWrap/>
            <w:vAlign w:val="center"/>
            <w:hideMark/>
          </w:tcPr>
          <w:p w14:paraId="66B0E003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2012</w:t>
            </w:r>
          </w:p>
        </w:tc>
        <w:tc>
          <w:tcPr>
            <w:tcW w:w="7013" w:type="dxa"/>
            <w:noWrap/>
            <w:vAlign w:val="center"/>
            <w:hideMark/>
          </w:tcPr>
          <w:p w14:paraId="2A8EB553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Hypoglycemia and risk of death in critically ill patients</w:t>
            </w:r>
          </w:p>
        </w:tc>
      </w:tr>
      <w:tr w:rsidR="00376B94" w:rsidRPr="008F2455" w14:paraId="2EF21ADD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7FE65D7E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Peake SL</w:t>
            </w:r>
          </w:p>
        </w:tc>
        <w:tc>
          <w:tcPr>
            <w:tcW w:w="992" w:type="dxa"/>
            <w:noWrap/>
            <w:vAlign w:val="center"/>
            <w:hideMark/>
          </w:tcPr>
          <w:p w14:paraId="439DA2F5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2014</w:t>
            </w:r>
          </w:p>
        </w:tc>
        <w:tc>
          <w:tcPr>
            <w:tcW w:w="7013" w:type="dxa"/>
            <w:noWrap/>
            <w:vAlign w:val="center"/>
            <w:hideMark/>
          </w:tcPr>
          <w:p w14:paraId="11817855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Goal-directed resuscitation for patients with early septic shock</w:t>
            </w:r>
          </w:p>
        </w:tc>
      </w:tr>
      <w:tr w:rsidR="00376B94" w:rsidRPr="008F2455" w14:paraId="7B598A21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18FD5CCA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Young P</w:t>
            </w:r>
          </w:p>
        </w:tc>
        <w:tc>
          <w:tcPr>
            <w:tcW w:w="992" w:type="dxa"/>
            <w:noWrap/>
            <w:vAlign w:val="center"/>
            <w:hideMark/>
          </w:tcPr>
          <w:p w14:paraId="4ADD7651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2015</w:t>
            </w:r>
          </w:p>
        </w:tc>
        <w:tc>
          <w:tcPr>
            <w:tcW w:w="7013" w:type="dxa"/>
            <w:noWrap/>
            <w:vAlign w:val="center"/>
            <w:hideMark/>
          </w:tcPr>
          <w:p w14:paraId="2D10DF76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Acetaminophen for Fever in Critically Ill Patients with Suspected Infection</w:t>
            </w:r>
          </w:p>
        </w:tc>
      </w:tr>
      <w:tr w:rsidR="00376B94" w:rsidRPr="008F2455" w14:paraId="07D9EF9D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35151325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Cooper DJ</w:t>
            </w:r>
          </w:p>
        </w:tc>
        <w:tc>
          <w:tcPr>
            <w:tcW w:w="992" w:type="dxa"/>
            <w:noWrap/>
            <w:vAlign w:val="center"/>
            <w:hideMark/>
          </w:tcPr>
          <w:p w14:paraId="048C2F5D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2017</w:t>
            </w:r>
          </w:p>
        </w:tc>
        <w:tc>
          <w:tcPr>
            <w:tcW w:w="7013" w:type="dxa"/>
            <w:noWrap/>
            <w:vAlign w:val="center"/>
            <w:hideMark/>
          </w:tcPr>
          <w:p w14:paraId="1101A9C0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Age of Red Cells for Transfusion and Outcomes in Critically Ill Adults</w:t>
            </w:r>
          </w:p>
        </w:tc>
      </w:tr>
      <w:tr w:rsidR="00376B94" w:rsidRPr="008F2455" w14:paraId="079F3FA9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4ECA0ABD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Khanna A</w:t>
            </w:r>
          </w:p>
        </w:tc>
        <w:tc>
          <w:tcPr>
            <w:tcW w:w="992" w:type="dxa"/>
            <w:noWrap/>
            <w:vAlign w:val="center"/>
            <w:hideMark/>
          </w:tcPr>
          <w:p w14:paraId="380AD10C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2017</w:t>
            </w:r>
          </w:p>
        </w:tc>
        <w:tc>
          <w:tcPr>
            <w:tcW w:w="7013" w:type="dxa"/>
            <w:noWrap/>
            <w:vAlign w:val="center"/>
            <w:hideMark/>
          </w:tcPr>
          <w:p w14:paraId="120291C7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Angiotensin II for the Treatment of Vasodilatory Shock</w:t>
            </w:r>
          </w:p>
        </w:tc>
      </w:tr>
      <w:tr w:rsidR="00376B94" w:rsidRPr="008F2455" w14:paraId="0DEAB800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0359EB00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Landoni G</w:t>
            </w:r>
          </w:p>
        </w:tc>
        <w:tc>
          <w:tcPr>
            <w:tcW w:w="992" w:type="dxa"/>
            <w:noWrap/>
            <w:vAlign w:val="center"/>
            <w:hideMark/>
          </w:tcPr>
          <w:p w14:paraId="2B98FFBF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2017</w:t>
            </w:r>
          </w:p>
        </w:tc>
        <w:tc>
          <w:tcPr>
            <w:tcW w:w="7013" w:type="dxa"/>
            <w:noWrap/>
            <w:vAlign w:val="center"/>
            <w:hideMark/>
          </w:tcPr>
          <w:p w14:paraId="27980453" w14:textId="77777777" w:rsidR="00376B94" w:rsidRPr="008F2455" w:rsidRDefault="00376B94" w:rsidP="005D2D74">
            <w:pPr>
              <w:ind w:firstLineChars="0" w:firstLine="0"/>
              <w:jc w:val="center"/>
            </w:pPr>
            <w:proofErr w:type="spellStart"/>
            <w:r w:rsidRPr="008F2455">
              <w:t>Levosimendan</w:t>
            </w:r>
            <w:proofErr w:type="spellEnd"/>
            <w:r w:rsidRPr="008F2455">
              <w:t xml:space="preserve"> for Hemodynamic Support after Cardiac Surgery</w:t>
            </w:r>
          </w:p>
        </w:tc>
      </w:tr>
      <w:tr w:rsidR="00376B94" w:rsidRPr="008F2455" w14:paraId="6BE75B02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00A1954C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Chapman M</w:t>
            </w:r>
          </w:p>
        </w:tc>
        <w:tc>
          <w:tcPr>
            <w:tcW w:w="992" w:type="dxa"/>
            <w:noWrap/>
            <w:vAlign w:val="center"/>
            <w:hideMark/>
          </w:tcPr>
          <w:p w14:paraId="51E9280D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2018</w:t>
            </w:r>
          </w:p>
        </w:tc>
        <w:tc>
          <w:tcPr>
            <w:tcW w:w="7013" w:type="dxa"/>
            <w:noWrap/>
            <w:vAlign w:val="center"/>
            <w:hideMark/>
          </w:tcPr>
          <w:p w14:paraId="78B25156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Energy-Dense versus Routine Enteral Nutrition in the Critically Ill</w:t>
            </w:r>
          </w:p>
        </w:tc>
      </w:tr>
      <w:tr w:rsidR="00376B94" w:rsidRPr="008F2455" w14:paraId="55A7E2B0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259B44DA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Myles PS</w:t>
            </w:r>
          </w:p>
        </w:tc>
        <w:tc>
          <w:tcPr>
            <w:tcW w:w="992" w:type="dxa"/>
            <w:noWrap/>
            <w:vAlign w:val="center"/>
            <w:hideMark/>
          </w:tcPr>
          <w:p w14:paraId="50AD330A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2018</w:t>
            </w:r>
          </w:p>
        </w:tc>
        <w:tc>
          <w:tcPr>
            <w:tcW w:w="7013" w:type="dxa"/>
            <w:noWrap/>
            <w:vAlign w:val="center"/>
            <w:hideMark/>
          </w:tcPr>
          <w:p w14:paraId="1F8BEA4A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Restrictive versus Liberal Fluid Therapy for Major Abdominal Surgery</w:t>
            </w:r>
          </w:p>
        </w:tc>
      </w:tr>
      <w:tr w:rsidR="00376B94" w:rsidRPr="008F2455" w14:paraId="2245DDC5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24B0508E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Venkatesh B</w:t>
            </w:r>
          </w:p>
        </w:tc>
        <w:tc>
          <w:tcPr>
            <w:tcW w:w="992" w:type="dxa"/>
            <w:noWrap/>
            <w:vAlign w:val="center"/>
            <w:hideMark/>
          </w:tcPr>
          <w:p w14:paraId="1B0F3087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2018</w:t>
            </w:r>
          </w:p>
        </w:tc>
        <w:tc>
          <w:tcPr>
            <w:tcW w:w="7013" w:type="dxa"/>
            <w:noWrap/>
            <w:vAlign w:val="center"/>
            <w:hideMark/>
          </w:tcPr>
          <w:p w14:paraId="30C575D3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Adjunctive Glucocorticoid Therapy in Patients with Septic Shock</w:t>
            </w:r>
          </w:p>
        </w:tc>
      </w:tr>
      <w:tr w:rsidR="00376B94" w:rsidRPr="008F2455" w14:paraId="6D2249E8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6D59984B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Shehabi Y</w:t>
            </w:r>
          </w:p>
        </w:tc>
        <w:tc>
          <w:tcPr>
            <w:tcW w:w="992" w:type="dxa"/>
            <w:noWrap/>
            <w:vAlign w:val="center"/>
            <w:hideMark/>
          </w:tcPr>
          <w:p w14:paraId="21346B43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2019</w:t>
            </w:r>
          </w:p>
        </w:tc>
        <w:tc>
          <w:tcPr>
            <w:tcW w:w="7013" w:type="dxa"/>
            <w:noWrap/>
            <w:vAlign w:val="center"/>
            <w:hideMark/>
          </w:tcPr>
          <w:p w14:paraId="7303A01C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Early Sedation with Dexmedetomidine in Critically Ill Patients</w:t>
            </w:r>
          </w:p>
        </w:tc>
      </w:tr>
      <w:tr w:rsidR="00376B94" w:rsidRPr="008F2455" w14:paraId="0C5E28AD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577A2D4F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Landoni G</w:t>
            </w:r>
          </w:p>
        </w:tc>
        <w:tc>
          <w:tcPr>
            <w:tcW w:w="992" w:type="dxa"/>
            <w:noWrap/>
            <w:vAlign w:val="center"/>
            <w:hideMark/>
          </w:tcPr>
          <w:p w14:paraId="05291C6D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2019</w:t>
            </w:r>
          </w:p>
        </w:tc>
        <w:tc>
          <w:tcPr>
            <w:tcW w:w="7013" w:type="dxa"/>
            <w:noWrap/>
            <w:vAlign w:val="center"/>
            <w:hideMark/>
          </w:tcPr>
          <w:p w14:paraId="15342438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Volatile Anesthetics versus Total Intravenous Anesthesia for Cardiac Surgery</w:t>
            </w:r>
          </w:p>
        </w:tc>
      </w:tr>
      <w:tr w:rsidR="00376B94" w:rsidRPr="008F2455" w14:paraId="19B43DA6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134B2E65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Bagshaw SM</w:t>
            </w:r>
          </w:p>
        </w:tc>
        <w:tc>
          <w:tcPr>
            <w:tcW w:w="992" w:type="dxa"/>
            <w:noWrap/>
            <w:vAlign w:val="center"/>
            <w:hideMark/>
          </w:tcPr>
          <w:p w14:paraId="463F9F59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2020</w:t>
            </w:r>
          </w:p>
        </w:tc>
        <w:tc>
          <w:tcPr>
            <w:tcW w:w="7013" w:type="dxa"/>
            <w:noWrap/>
            <w:vAlign w:val="center"/>
            <w:hideMark/>
          </w:tcPr>
          <w:p w14:paraId="11D0FE30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Timing of Initiation of Renal-Replacement Therapy in Acute Kidney Injury</w:t>
            </w:r>
          </w:p>
        </w:tc>
      </w:tr>
      <w:tr w:rsidR="00376B94" w:rsidRPr="008F2455" w14:paraId="5501CFFC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32ADC459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Mackle D</w:t>
            </w:r>
          </w:p>
        </w:tc>
        <w:tc>
          <w:tcPr>
            <w:tcW w:w="992" w:type="dxa"/>
            <w:noWrap/>
            <w:vAlign w:val="center"/>
            <w:hideMark/>
          </w:tcPr>
          <w:p w14:paraId="4F526944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2020</w:t>
            </w:r>
          </w:p>
        </w:tc>
        <w:tc>
          <w:tcPr>
            <w:tcW w:w="7013" w:type="dxa"/>
            <w:noWrap/>
            <w:vAlign w:val="center"/>
            <w:hideMark/>
          </w:tcPr>
          <w:p w14:paraId="279D34DD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Conservative Oxygen Therapy during Mechanical Ventilation in the ICU</w:t>
            </w:r>
          </w:p>
        </w:tc>
      </w:tr>
      <w:tr w:rsidR="00376B94" w:rsidRPr="008F2455" w14:paraId="28A19B0C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4194DE3F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Hodgson CL</w:t>
            </w:r>
          </w:p>
        </w:tc>
        <w:tc>
          <w:tcPr>
            <w:tcW w:w="992" w:type="dxa"/>
            <w:noWrap/>
            <w:vAlign w:val="center"/>
            <w:hideMark/>
          </w:tcPr>
          <w:p w14:paraId="071EFFB7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2022</w:t>
            </w:r>
          </w:p>
        </w:tc>
        <w:tc>
          <w:tcPr>
            <w:tcW w:w="7013" w:type="dxa"/>
            <w:noWrap/>
            <w:vAlign w:val="center"/>
            <w:hideMark/>
          </w:tcPr>
          <w:p w14:paraId="4B44C760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Early Active Mobilization during Mechanical Ventilation in the ICU</w:t>
            </w:r>
          </w:p>
        </w:tc>
      </w:tr>
      <w:tr w:rsidR="00376B94" w:rsidRPr="008F2455" w14:paraId="7247C973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5AC5E7C9" w14:textId="77777777" w:rsidR="00376B94" w:rsidRPr="008F2455" w:rsidRDefault="00376B94" w:rsidP="005D2D74">
            <w:pPr>
              <w:ind w:firstLineChars="0" w:firstLine="0"/>
              <w:jc w:val="left"/>
            </w:pPr>
            <w:proofErr w:type="spellStart"/>
            <w:r w:rsidRPr="008F2455">
              <w:t>Finfer</w:t>
            </w:r>
            <w:proofErr w:type="spellEnd"/>
            <w:r w:rsidRPr="008F2455">
              <w:t xml:space="preserve"> S</w:t>
            </w:r>
          </w:p>
        </w:tc>
        <w:tc>
          <w:tcPr>
            <w:tcW w:w="992" w:type="dxa"/>
            <w:noWrap/>
            <w:vAlign w:val="center"/>
            <w:hideMark/>
          </w:tcPr>
          <w:p w14:paraId="7559EE58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2022</w:t>
            </w:r>
          </w:p>
        </w:tc>
        <w:tc>
          <w:tcPr>
            <w:tcW w:w="7013" w:type="dxa"/>
            <w:noWrap/>
            <w:vAlign w:val="center"/>
            <w:hideMark/>
          </w:tcPr>
          <w:p w14:paraId="1619AE7E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 xml:space="preserve">Balanced </w:t>
            </w:r>
            <w:proofErr w:type="spellStart"/>
            <w:r w:rsidRPr="008F2455">
              <w:t>Multielectrolyte</w:t>
            </w:r>
            <w:proofErr w:type="spellEnd"/>
            <w:r w:rsidRPr="008F2455">
              <w:t xml:space="preserve"> Solution versus Saline in Critically Ill Adults</w:t>
            </w:r>
          </w:p>
        </w:tc>
      </w:tr>
      <w:tr w:rsidR="00376B94" w:rsidRPr="008F2455" w14:paraId="1530A0E0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47082B07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Eastwood G</w:t>
            </w:r>
          </w:p>
        </w:tc>
        <w:tc>
          <w:tcPr>
            <w:tcW w:w="992" w:type="dxa"/>
            <w:noWrap/>
            <w:vAlign w:val="center"/>
            <w:hideMark/>
          </w:tcPr>
          <w:p w14:paraId="1F6774E6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2023</w:t>
            </w:r>
          </w:p>
        </w:tc>
        <w:tc>
          <w:tcPr>
            <w:tcW w:w="7013" w:type="dxa"/>
            <w:noWrap/>
            <w:vAlign w:val="center"/>
            <w:hideMark/>
          </w:tcPr>
          <w:p w14:paraId="5EFC6EB9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Mild Hypercapnia or Normocapnia after Out-of-Hospital Cardiac Arrest</w:t>
            </w:r>
          </w:p>
        </w:tc>
      </w:tr>
      <w:tr w:rsidR="00376B94" w:rsidRPr="008F2455" w14:paraId="77638CD5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059879E9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Landoni G</w:t>
            </w:r>
          </w:p>
        </w:tc>
        <w:tc>
          <w:tcPr>
            <w:tcW w:w="992" w:type="dxa"/>
            <w:noWrap/>
            <w:vAlign w:val="center"/>
            <w:hideMark/>
          </w:tcPr>
          <w:p w14:paraId="45898C87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2024</w:t>
            </w:r>
          </w:p>
        </w:tc>
        <w:tc>
          <w:tcPr>
            <w:tcW w:w="7013" w:type="dxa"/>
            <w:noWrap/>
            <w:vAlign w:val="center"/>
            <w:hideMark/>
          </w:tcPr>
          <w:p w14:paraId="48E0E950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A Randomized Trial of Intravenous Amino Acids for Kidney Protection</w:t>
            </w:r>
          </w:p>
        </w:tc>
      </w:tr>
      <w:tr w:rsidR="00376B94" w:rsidRPr="008F2455" w14:paraId="11C488AF" w14:textId="77777777" w:rsidTr="008F2455">
        <w:trPr>
          <w:trHeight w:val="283"/>
          <w:jc w:val="center"/>
        </w:trPr>
        <w:tc>
          <w:tcPr>
            <w:tcW w:w="1985" w:type="dxa"/>
            <w:noWrap/>
            <w:vAlign w:val="center"/>
            <w:hideMark/>
          </w:tcPr>
          <w:p w14:paraId="411EC15D" w14:textId="77777777" w:rsidR="00376B94" w:rsidRPr="008F2455" w:rsidRDefault="00376B94" w:rsidP="005D2D74">
            <w:pPr>
              <w:ind w:firstLineChars="0" w:firstLine="0"/>
              <w:jc w:val="left"/>
            </w:pPr>
            <w:r w:rsidRPr="008F2455">
              <w:t>Monaco F</w:t>
            </w:r>
          </w:p>
        </w:tc>
        <w:tc>
          <w:tcPr>
            <w:tcW w:w="992" w:type="dxa"/>
            <w:noWrap/>
            <w:vAlign w:val="center"/>
            <w:hideMark/>
          </w:tcPr>
          <w:p w14:paraId="53ECDB89" w14:textId="77777777" w:rsidR="00376B94" w:rsidRPr="008F2455" w:rsidRDefault="00376B94" w:rsidP="005D2D74">
            <w:pPr>
              <w:ind w:firstLineChars="0" w:firstLine="0"/>
              <w:jc w:val="center"/>
            </w:pPr>
            <w:r w:rsidRPr="008F2455">
              <w:t>2025</w:t>
            </w:r>
          </w:p>
        </w:tc>
        <w:tc>
          <w:tcPr>
            <w:tcW w:w="7013" w:type="dxa"/>
            <w:noWrap/>
            <w:vAlign w:val="center"/>
            <w:hideMark/>
          </w:tcPr>
          <w:p w14:paraId="40AEECF0" w14:textId="07BCCFCE" w:rsidR="00376B94" w:rsidRPr="008F2455" w:rsidRDefault="00FA7315" w:rsidP="005D2D74">
            <w:pPr>
              <w:ind w:firstLineChars="0" w:firstLine="0"/>
              <w:jc w:val="center"/>
            </w:pPr>
            <w:r w:rsidRPr="00FA7315">
              <w:rPr>
                <w:kern w:val="2"/>
              </w:rPr>
              <w:t xml:space="preserve"> </w:t>
            </w:r>
            <w:r w:rsidRPr="00FA7315">
              <w:t xml:space="preserve">A Randomized Trial of Acute </w:t>
            </w:r>
            <w:proofErr w:type="spellStart"/>
            <w:r w:rsidRPr="00FA7315">
              <w:t>Normovolemic</w:t>
            </w:r>
            <w:proofErr w:type="spellEnd"/>
            <w:r w:rsidRPr="00FA7315">
              <w:t xml:space="preserve"> Hemodilution in Cardiac Surgery</w:t>
            </w:r>
          </w:p>
        </w:tc>
      </w:tr>
    </w:tbl>
    <w:p w14:paraId="3BBC5EB7" w14:textId="4EADE8F7" w:rsidR="00376B94" w:rsidRDefault="00376B94" w:rsidP="007C5D98">
      <w:pPr>
        <w:pStyle w:val="af4"/>
        <w:jc w:val="both"/>
        <w:rPr>
          <w:rFonts w:eastAsiaTheme="minorEastAsia"/>
          <w:lang w:val="en-GB"/>
        </w:rPr>
      </w:pPr>
    </w:p>
    <w:p w14:paraId="00CF33E3" w14:textId="77777777" w:rsidR="007C5D98" w:rsidRPr="007C5D98" w:rsidRDefault="007C5D98" w:rsidP="007C5D98">
      <w:pPr>
        <w:pStyle w:val="af4"/>
        <w:jc w:val="both"/>
        <w:rPr>
          <w:rFonts w:eastAsiaTheme="minorEastAsia"/>
          <w:lang w:val="en-GB"/>
        </w:rPr>
      </w:pPr>
    </w:p>
    <w:p w14:paraId="0EAC48FB" w14:textId="77777777" w:rsidR="00376B94" w:rsidRPr="00912F9B" w:rsidRDefault="00376B94" w:rsidP="00CD7A92">
      <w:pPr>
        <w:pStyle w:val="af3"/>
        <w:rPr>
          <w:lang w:val="en-GB"/>
        </w:rPr>
      </w:pPr>
      <w:r w:rsidRPr="00912F9B">
        <w:rPr>
          <w:bCs/>
          <w:lang w:val="en-GB"/>
        </w:rPr>
        <w:t>Supplemental Table 2</w:t>
      </w:r>
      <w:r w:rsidRPr="00912F9B">
        <w:rPr>
          <w:lang w:val="en-GB"/>
        </w:rPr>
        <w:t>. Top 10 most cited articles authored by Professor Rinaldo Bellomo.</w:t>
      </w:r>
    </w:p>
    <w:tbl>
      <w:tblPr>
        <w:tblStyle w:val="ae"/>
        <w:tblW w:w="11761" w:type="dxa"/>
        <w:jc w:val="center"/>
        <w:tblLook w:val="04A0" w:firstRow="1" w:lastRow="0" w:firstColumn="1" w:lastColumn="0" w:noHBand="0" w:noVBand="1"/>
      </w:tblPr>
      <w:tblGrid>
        <w:gridCol w:w="4531"/>
        <w:gridCol w:w="1843"/>
        <w:gridCol w:w="672"/>
        <w:gridCol w:w="2021"/>
        <w:gridCol w:w="1560"/>
        <w:gridCol w:w="1134"/>
      </w:tblGrid>
      <w:tr w:rsidR="00BF0DD8" w:rsidRPr="00BF0DD8" w14:paraId="0828CB9B" w14:textId="77777777" w:rsidTr="00B41CAA">
        <w:trPr>
          <w:trHeight w:val="283"/>
          <w:jc w:val="center"/>
        </w:trPr>
        <w:tc>
          <w:tcPr>
            <w:tcW w:w="4531" w:type="dxa"/>
            <w:noWrap/>
            <w:vAlign w:val="center"/>
            <w:hideMark/>
          </w:tcPr>
          <w:p w14:paraId="02787704" w14:textId="77777777" w:rsidR="00376B94" w:rsidRPr="00BF0DD8" w:rsidRDefault="00376B94" w:rsidP="00BF0DD8">
            <w:pPr>
              <w:ind w:firstLineChars="0" w:firstLine="0"/>
              <w:jc w:val="left"/>
              <w:rPr>
                <w:bCs/>
                <w:color w:val="000000" w:themeColor="text1"/>
                <w:lang w:val="en-GB" w:eastAsia="it-IT"/>
              </w:rPr>
            </w:pPr>
            <w:r w:rsidRPr="00BF0DD8">
              <w:rPr>
                <w:bCs/>
                <w:color w:val="000000" w:themeColor="text1"/>
                <w:lang w:val="en-GB" w:eastAsia="it-IT"/>
              </w:rPr>
              <w:t>Title</w:t>
            </w:r>
          </w:p>
        </w:tc>
        <w:tc>
          <w:tcPr>
            <w:tcW w:w="1843" w:type="dxa"/>
            <w:vAlign w:val="center"/>
            <w:hideMark/>
          </w:tcPr>
          <w:p w14:paraId="627A7FE9" w14:textId="77777777" w:rsidR="00376B94" w:rsidRPr="00BF0DD8" w:rsidRDefault="00376B94" w:rsidP="00BF0DD8">
            <w:pPr>
              <w:ind w:firstLineChars="0" w:firstLine="0"/>
              <w:jc w:val="center"/>
              <w:rPr>
                <w:bCs/>
                <w:color w:val="000000" w:themeColor="text1"/>
                <w:vertAlign w:val="superscript"/>
                <w:lang w:val="en-GB" w:eastAsia="it-IT"/>
              </w:rPr>
            </w:pPr>
            <w:r w:rsidRPr="00BF0DD8">
              <w:rPr>
                <w:bCs/>
                <w:color w:val="000000" w:themeColor="text1"/>
                <w:lang w:val="en-GB" w:eastAsia="it-IT"/>
              </w:rPr>
              <w:t>Journal</w:t>
            </w:r>
          </w:p>
        </w:tc>
        <w:tc>
          <w:tcPr>
            <w:tcW w:w="672" w:type="dxa"/>
            <w:noWrap/>
            <w:vAlign w:val="center"/>
            <w:hideMark/>
          </w:tcPr>
          <w:p w14:paraId="1089F4FA" w14:textId="77777777" w:rsidR="00376B94" w:rsidRPr="00BF0DD8" w:rsidRDefault="00376B94" w:rsidP="00BF0DD8">
            <w:pPr>
              <w:ind w:firstLineChars="0" w:firstLine="0"/>
              <w:jc w:val="center"/>
              <w:rPr>
                <w:bCs/>
                <w:color w:val="000000" w:themeColor="text1"/>
                <w:lang w:val="en-GB" w:eastAsia="it-IT"/>
              </w:rPr>
            </w:pPr>
            <w:r w:rsidRPr="00BF0DD8">
              <w:rPr>
                <w:bCs/>
                <w:color w:val="000000" w:themeColor="text1"/>
                <w:lang w:val="en-GB" w:eastAsia="it-IT"/>
              </w:rPr>
              <w:t>Year</w:t>
            </w:r>
          </w:p>
        </w:tc>
        <w:tc>
          <w:tcPr>
            <w:tcW w:w="2021" w:type="dxa"/>
            <w:noWrap/>
            <w:vAlign w:val="center"/>
            <w:hideMark/>
          </w:tcPr>
          <w:p w14:paraId="1787D172" w14:textId="77777777" w:rsidR="00376B94" w:rsidRPr="00BF0DD8" w:rsidRDefault="00376B94" w:rsidP="00BF0DD8">
            <w:pPr>
              <w:ind w:firstLineChars="0" w:firstLine="0"/>
              <w:jc w:val="center"/>
              <w:rPr>
                <w:bCs/>
                <w:color w:val="000000" w:themeColor="text1"/>
                <w:lang w:val="en-GB" w:eastAsia="it-IT"/>
              </w:rPr>
            </w:pPr>
            <w:r w:rsidRPr="00BF0DD8">
              <w:rPr>
                <w:bCs/>
                <w:color w:val="000000" w:themeColor="text1"/>
                <w:lang w:val="en-GB" w:eastAsia="it-IT"/>
              </w:rPr>
              <w:t>Topic</w:t>
            </w:r>
          </w:p>
        </w:tc>
        <w:tc>
          <w:tcPr>
            <w:tcW w:w="1560" w:type="dxa"/>
            <w:vAlign w:val="center"/>
          </w:tcPr>
          <w:p w14:paraId="507AC5D9" w14:textId="77777777" w:rsidR="00376B94" w:rsidRPr="00BF0DD8" w:rsidRDefault="00376B94" w:rsidP="00BF0DD8">
            <w:pPr>
              <w:ind w:firstLineChars="0" w:firstLine="0"/>
              <w:jc w:val="center"/>
              <w:rPr>
                <w:bCs/>
                <w:color w:val="000000" w:themeColor="text1"/>
                <w:lang w:val="en-GB" w:eastAsia="it-IT"/>
              </w:rPr>
            </w:pPr>
            <w:r w:rsidRPr="00BF0DD8">
              <w:rPr>
                <w:bCs/>
                <w:color w:val="000000" w:themeColor="text1"/>
                <w:lang w:val="en-GB" w:eastAsia="it-IT"/>
              </w:rPr>
              <w:t>Article type</w:t>
            </w:r>
          </w:p>
        </w:tc>
        <w:tc>
          <w:tcPr>
            <w:tcW w:w="1134" w:type="dxa"/>
            <w:noWrap/>
            <w:vAlign w:val="center"/>
            <w:hideMark/>
          </w:tcPr>
          <w:p w14:paraId="110501F5" w14:textId="77777777" w:rsidR="00376B94" w:rsidRPr="00BF0DD8" w:rsidRDefault="00376B94" w:rsidP="00BF0DD8">
            <w:pPr>
              <w:ind w:firstLineChars="0" w:firstLine="0"/>
              <w:jc w:val="center"/>
              <w:rPr>
                <w:bCs/>
                <w:color w:val="000000" w:themeColor="text1"/>
                <w:lang w:val="en-GB" w:eastAsia="it-IT"/>
              </w:rPr>
            </w:pPr>
            <w:r w:rsidRPr="00BF0DD8">
              <w:rPr>
                <w:bCs/>
                <w:color w:val="000000" w:themeColor="text1"/>
                <w:lang w:val="en-GB" w:eastAsia="it-IT"/>
              </w:rPr>
              <w:t>Citations</w:t>
            </w:r>
          </w:p>
        </w:tc>
      </w:tr>
      <w:tr w:rsidR="00BF0DD8" w:rsidRPr="00BF0DD8" w14:paraId="2BB5A645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2017A43F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The Third International Consensus Definitions for Sepsis and Septic Shock (Sepsis-3)</w:t>
            </w:r>
          </w:p>
        </w:tc>
        <w:tc>
          <w:tcPr>
            <w:tcW w:w="1843" w:type="dxa"/>
            <w:vAlign w:val="center"/>
            <w:hideMark/>
          </w:tcPr>
          <w:p w14:paraId="4604BB6F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JAMA</w:t>
            </w:r>
          </w:p>
        </w:tc>
        <w:tc>
          <w:tcPr>
            <w:tcW w:w="672" w:type="dxa"/>
            <w:noWrap/>
            <w:vAlign w:val="center"/>
            <w:hideMark/>
          </w:tcPr>
          <w:p w14:paraId="3E977428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2016</w:t>
            </w:r>
          </w:p>
        </w:tc>
        <w:tc>
          <w:tcPr>
            <w:tcW w:w="2021" w:type="dxa"/>
            <w:vAlign w:val="center"/>
            <w:hideMark/>
          </w:tcPr>
          <w:p w14:paraId="534FEC69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Sepsis &amp; Septic Shock</w:t>
            </w:r>
          </w:p>
        </w:tc>
        <w:tc>
          <w:tcPr>
            <w:tcW w:w="1560" w:type="dxa"/>
            <w:vAlign w:val="center"/>
          </w:tcPr>
          <w:p w14:paraId="3C2D55BB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</w:rPr>
            </w:pPr>
            <w:r w:rsidRPr="00BF0DD8">
              <w:rPr>
                <w:color w:val="000000" w:themeColor="text1"/>
              </w:rPr>
              <w:t>Consensus document</w:t>
            </w:r>
          </w:p>
        </w:tc>
        <w:tc>
          <w:tcPr>
            <w:tcW w:w="1134" w:type="dxa"/>
            <w:noWrap/>
            <w:vAlign w:val="center"/>
            <w:hideMark/>
          </w:tcPr>
          <w:p w14:paraId="323EBBC1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17,284</w:t>
            </w:r>
          </w:p>
        </w:tc>
      </w:tr>
      <w:tr w:rsidR="00BF0DD8" w:rsidRPr="00BF0DD8" w14:paraId="1F4FC3DD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72B85FA8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Epidemiology of acute kidney injury in critically ill patients: the multinational AKI-EPI study</w:t>
            </w:r>
          </w:p>
        </w:tc>
        <w:tc>
          <w:tcPr>
            <w:tcW w:w="1843" w:type="dxa"/>
            <w:vAlign w:val="center"/>
            <w:hideMark/>
          </w:tcPr>
          <w:p w14:paraId="263AB1E2" w14:textId="15EC4CA9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Intensive Care Med</w:t>
            </w:r>
          </w:p>
        </w:tc>
        <w:tc>
          <w:tcPr>
            <w:tcW w:w="672" w:type="dxa"/>
            <w:noWrap/>
            <w:vAlign w:val="center"/>
            <w:hideMark/>
          </w:tcPr>
          <w:p w14:paraId="34C6FCB3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2015</w:t>
            </w:r>
          </w:p>
        </w:tc>
        <w:tc>
          <w:tcPr>
            <w:tcW w:w="2021" w:type="dxa"/>
            <w:vAlign w:val="center"/>
            <w:hideMark/>
          </w:tcPr>
          <w:p w14:paraId="50D93173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</w:t>
            </w:r>
          </w:p>
        </w:tc>
        <w:tc>
          <w:tcPr>
            <w:tcW w:w="1560" w:type="dxa"/>
            <w:vAlign w:val="center"/>
          </w:tcPr>
          <w:p w14:paraId="374ADB20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</w:rPr>
            </w:pPr>
            <w:r w:rsidRPr="00BF0DD8">
              <w:rPr>
                <w:color w:val="000000" w:themeColor="text1"/>
              </w:rPr>
              <w:t>Original research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4DC52601" w14:textId="0FECD2EE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</w:rPr>
              <w:t>1</w:t>
            </w:r>
            <w:r w:rsidR="00376B94" w:rsidRPr="00BF0DD8">
              <w:rPr>
                <w:color w:val="000000" w:themeColor="text1"/>
              </w:rPr>
              <w:t>945</w:t>
            </w:r>
          </w:p>
        </w:tc>
      </w:tr>
      <w:tr w:rsidR="00BF0DD8" w:rsidRPr="00BF0DD8" w14:paraId="03AAEC4A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5219C469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Cardiorenal Syndrome</w:t>
            </w:r>
          </w:p>
        </w:tc>
        <w:tc>
          <w:tcPr>
            <w:tcW w:w="1843" w:type="dxa"/>
            <w:vAlign w:val="center"/>
            <w:hideMark/>
          </w:tcPr>
          <w:p w14:paraId="4190C2CA" w14:textId="0D1CFD03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 xml:space="preserve">J Am Coll </w:t>
            </w:r>
            <w:proofErr w:type="spellStart"/>
            <w:r>
              <w:rPr>
                <w:color w:val="000000" w:themeColor="text1"/>
                <w:lang w:val="en-GB" w:eastAsia="it-IT"/>
              </w:rPr>
              <w:t>Cardiol</w:t>
            </w:r>
            <w:proofErr w:type="spellEnd"/>
          </w:p>
        </w:tc>
        <w:tc>
          <w:tcPr>
            <w:tcW w:w="672" w:type="dxa"/>
            <w:noWrap/>
            <w:vAlign w:val="center"/>
            <w:hideMark/>
          </w:tcPr>
          <w:p w14:paraId="698DA6A2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2008</w:t>
            </w:r>
          </w:p>
        </w:tc>
        <w:tc>
          <w:tcPr>
            <w:tcW w:w="2021" w:type="dxa"/>
            <w:vAlign w:val="center"/>
            <w:hideMark/>
          </w:tcPr>
          <w:p w14:paraId="7A3E7A3A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 &amp; Heart failure</w:t>
            </w:r>
          </w:p>
        </w:tc>
        <w:tc>
          <w:tcPr>
            <w:tcW w:w="1560" w:type="dxa"/>
            <w:vAlign w:val="center"/>
          </w:tcPr>
          <w:p w14:paraId="49E3FA0E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</w:rPr>
            </w:pPr>
            <w:r w:rsidRPr="00BF0DD8">
              <w:rPr>
                <w:color w:val="000000" w:themeColor="text1"/>
              </w:rPr>
              <w:t>Review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49FCD602" w14:textId="1D8C4ECE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</w:rPr>
              <w:t>1</w:t>
            </w:r>
            <w:r w:rsidR="00376B94" w:rsidRPr="00BF0DD8">
              <w:rPr>
                <w:color w:val="000000" w:themeColor="text1"/>
              </w:rPr>
              <w:t>566</w:t>
            </w:r>
          </w:p>
        </w:tc>
      </w:tr>
      <w:tr w:rsidR="00BF0DD8" w:rsidRPr="00BF0DD8" w14:paraId="74DBF307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4F377307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Goal-Directed Resuscitation for Patients with Early Septic Shock</w:t>
            </w:r>
          </w:p>
        </w:tc>
        <w:tc>
          <w:tcPr>
            <w:tcW w:w="1843" w:type="dxa"/>
            <w:vAlign w:val="center"/>
            <w:hideMark/>
          </w:tcPr>
          <w:p w14:paraId="1D44AA76" w14:textId="04EB2937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N Engl J Med</w:t>
            </w:r>
          </w:p>
        </w:tc>
        <w:tc>
          <w:tcPr>
            <w:tcW w:w="672" w:type="dxa"/>
            <w:noWrap/>
            <w:vAlign w:val="center"/>
            <w:hideMark/>
          </w:tcPr>
          <w:p w14:paraId="6E4C3F51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2014</w:t>
            </w:r>
          </w:p>
        </w:tc>
        <w:tc>
          <w:tcPr>
            <w:tcW w:w="2021" w:type="dxa"/>
            <w:vAlign w:val="center"/>
            <w:hideMark/>
          </w:tcPr>
          <w:p w14:paraId="7E25E714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Sepsis &amp; Septic Shock</w:t>
            </w:r>
          </w:p>
        </w:tc>
        <w:tc>
          <w:tcPr>
            <w:tcW w:w="1560" w:type="dxa"/>
            <w:vAlign w:val="center"/>
          </w:tcPr>
          <w:p w14:paraId="0F1EF6C2" w14:textId="3D8967EC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Original rese</w:t>
            </w:r>
            <w:r w:rsidR="00376B94" w:rsidRPr="00BF0DD8">
              <w:rPr>
                <w:color w:val="000000" w:themeColor="text1"/>
              </w:rPr>
              <w:t>arch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31ED3A22" w14:textId="14D619A4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</w:rPr>
              <w:t>1</w:t>
            </w:r>
            <w:r w:rsidR="00376B94" w:rsidRPr="00BF0DD8">
              <w:rPr>
                <w:color w:val="000000" w:themeColor="text1"/>
              </w:rPr>
              <w:t>399</w:t>
            </w:r>
          </w:p>
        </w:tc>
      </w:tr>
      <w:tr w:rsidR="00BF0DD8" w:rsidRPr="00BF0DD8" w14:paraId="6A2837F0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35075B17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</w:t>
            </w:r>
          </w:p>
        </w:tc>
        <w:tc>
          <w:tcPr>
            <w:tcW w:w="1843" w:type="dxa"/>
            <w:vAlign w:val="center"/>
            <w:hideMark/>
          </w:tcPr>
          <w:p w14:paraId="763E4B75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Lancet</w:t>
            </w:r>
          </w:p>
        </w:tc>
        <w:tc>
          <w:tcPr>
            <w:tcW w:w="672" w:type="dxa"/>
            <w:noWrap/>
            <w:vAlign w:val="center"/>
            <w:hideMark/>
          </w:tcPr>
          <w:p w14:paraId="4EE1B9FE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</w:rPr>
            </w:pPr>
            <w:r w:rsidRPr="00BF0DD8">
              <w:rPr>
                <w:color w:val="000000" w:themeColor="text1"/>
              </w:rPr>
              <w:t>2012</w:t>
            </w:r>
          </w:p>
        </w:tc>
        <w:tc>
          <w:tcPr>
            <w:tcW w:w="2021" w:type="dxa"/>
            <w:vAlign w:val="center"/>
            <w:hideMark/>
          </w:tcPr>
          <w:p w14:paraId="44A93418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</w:t>
            </w:r>
          </w:p>
        </w:tc>
        <w:tc>
          <w:tcPr>
            <w:tcW w:w="1560" w:type="dxa"/>
            <w:vAlign w:val="center"/>
          </w:tcPr>
          <w:p w14:paraId="2A4048FF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Review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7F3D3507" w14:textId="29CDF2F9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1</w:t>
            </w:r>
            <w:r w:rsidR="00376B94" w:rsidRPr="00BF0DD8">
              <w:rPr>
                <w:color w:val="000000" w:themeColor="text1"/>
                <w:lang w:val="en-GB" w:eastAsia="it-IT"/>
              </w:rPr>
              <w:t>362</w:t>
            </w:r>
          </w:p>
        </w:tc>
      </w:tr>
      <w:tr w:rsidR="00BF0DD8" w:rsidRPr="00BF0DD8" w14:paraId="22EDCE53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23F6EFB2" w14:textId="43BEBB39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 xml:space="preserve">Mortality Related to Severe Sepsis and Septic </w:t>
            </w:r>
            <w:r w:rsidRPr="00BF0DD8">
              <w:rPr>
                <w:color w:val="000000" w:themeColor="text1"/>
                <w:lang w:val="en-GB" w:eastAsia="it-IT"/>
              </w:rPr>
              <w:lastRenderedPageBreak/>
              <w:t>Shock Among Critically III Patients in Australia and New Zealand, 2000</w:t>
            </w:r>
            <w:r w:rsidR="00BF0DD8">
              <w:rPr>
                <w:color w:val="000000" w:themeColor="text1"/>
                <w:lang w:val="en-GB" w:eastAsia="it-IT"/>
              </w:rPr>
              <w:t>–</w:t>
            </w:r>
            <w:r w:rsidRPr="00BF0DD8">
              <w:rPr>
                <w:color w:val="000000" w:themeColor="text1"/>
                <w:lang w:val="en-GB" w:eastAsia="it-IT"/>
              </w:rPr>
              <w:t>2012</w:t>
            </w:r>
          </w:p>
        </w:tc>
        <w:tc>
          <w:tcPr>
            <w:tcW w:w="1843" w:type="dxa"/>
            <w:vAlign w:val="center"/>
            <w:hideMark/>
          </w:tcPr>
          <w:p w14:paraId="53563CA8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lastRenderedPageBreak/>
              <w:t>JAMA</w:t>
            </w:r>
          </w:p>
        </w:tc>
        <w:tc>
          <w:tcPr>
            <w:tcW w:w="672" w:type="dxa"/>
            <w:noWrap/>
            <w:vAlign w:val="center"/>
            <w:hideMark/>
          </w:tcPr>
          <w:p w14:paraId="2E61CD54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2014</w:t>
            </w:r>
          </w:p>
        </w:tc>
        <w:tc>
          <w:tcPr>
            <w:tcW w:w="2021" w:type="dxa"/>
            <w:vAlign w:val="center"/>
            <w:hideMark/>
          </w:tcPr>
          <w:p w14:paraId="790ED040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 xml:space="preserve">Sepsis &amp; Septic </w:t>
            </w:r>
            <w:r w:rsidRPr="00BF0DD8">
              <w:rPr>
                <w:color w:val="000000" w:themeColor="text1"/>
                <w:lang w:val="en-GB" w:eastAsia="it-IT"/>
              </w:rPr>
              <w:lastRenderedPageBreak/>
              <w:t>Shock</w:t>
            </w:r>
          </w:p>
        </w:tc>
        <w:tc>
          <w:tcPr>
            <w:tcW w:w="1560" w:type="dxa"/>
            <w:vAlign w:val="center"/>
          </w:tcPr>
          <w:p w14:paraId="4858250E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lastRenderedPageBreak/>
              <w:t xml:space="preserve">Original </w:t>
            </w:r>
            <w:r w:rsidRPr="00BF0DD8">
              <w:rPr>
                <w:color w:val="000000" w:themeColor="text1"/>
              </w:rPr>
              <w:lastRenderedPageBreak/>
              <w:t>research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78926306" w14:textId="0F034FFF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lastRenderedPageBreak/>
              <w:t>1</w:t>
            </w:r>
            <w:r w:rsidR="00376B94" w:rsidRPr="00BF0DD8">
              <w:rPr>
                <w:color w:val="000000" w:themeColor="text1"/>
                <w:lang w:val="en-GB" w:eastAsia="it-IT"/>
              </w:rPr>
              <w:t>281</w:t>
            </w:r>
          </w:p>
        </w:tc>
      </w:tr>
      <w:tr w:rsidR="00BF0DD8" w:rsidRPr="00BF0DD8" w14:paraId="089F4F5D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1811046C" w14:textId="774EDC02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Extracorporeal Membrane Oxygenation for 2009 Influenza A</w:t>
            </w:r>
            <w:r w:rsidR="00BF0DD8">
              <w:rPr>
                <w:color w:val="000000" w:themeColor="text1"/>
                <w:lang w:val="en-GB" w:eastAsia="it-IT"/>
              </w:rPr>
              <w:t xml:space="preserve"> </w:t>
            </w:r>
            <w:r w:rsidRPr="00BF0DD8">
              <w:rPr>
                <w:color w:val="000000" w:themeColor="text1"/>
                <w:lang w:val="en-GB" w:eastAsia="it-IT"/>
              </w:rPr>
              <w:t xml:space="preserve">(H1N1) </w:t>
            </w:r>
            <w:proofErr w:type="gramStart"/>
            <w:r w:rsidRPr="00BF0DD8">
              <w:rPr>
                <w:color w:val="000000" w:themeColor="text1"/>
                <w:lang w:val="en-GB" w:eastAsia="it-IT"/>
              </w:rPr>
              <w:t>Acute Respiratory Distress Syndrome</w:t>
            </w:r>
            <w:proofErr w:type="gramEnd"/>
          </w:p>
        </w:tc>
        <w:tc>
          <w:tcPr>
            <w:tcW w:w="1843" w:type="dxa"/>
            <w:vAlign w:val="center"/>
            <w:hideMark/>
          </w:tcPr>
          <w:p w14:paraId="5FE35489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JAMA</w:t>
            </w:r>
          </w:p>
        </w:tc>
        <w:tc>
          <w:tcPr>
            <w:tcW w:w="672" w:type="dxa"/>
            <w:noWrap/>
            <w:vAlign w:val="center"/>
            <w:hideMark/>
          </w:tcPr>
          <w:p w14:paraId="2F2EF98A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2009</w:t>
            </w:r>
          </w:p>
        </w:tc>
        <w:tc>
          <w:tcPr>
            <w:tcW w:w="2021" w:type="dxa"/>
            <w:vAlign w:val="center"/>
            <w:hideMark/>
          </w:tcPr>
          <w:p w14:paraId="382800F2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Mechanical circulatory support</w:t>
            </w:r>
          </w:p>
        </w:tc>
        <w:tc>
          <w:tcPr>
            <w:tcW w:w="1560" w:type="dxa"/>
            <w:vAlign w:val="center"/>
          </w:tcPr>
          <w:p w14:paraId="71B90746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Original research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6258ED95" w14:textId="34093251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1</w:t>
            </w:r>
            <w:r w:rsidR="00376B94" w:rsidRPr="00BF0DD8">
              <w:rPr>
                <w:color w:val="000000" w:themeColor="text1"/>
                <w:lang w:val="en-GB" w:eastAsia="it-IT"/>
              </w:rPr>
              <w:t>202</w:t>
            </w:r>
          </w:p>
        </w:tc>
      </w:tr>
      <w:tr w:rsidR="00BF0DD8" w:rsidRPr="00BF0DD8" w14:paraId="427AFB5A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62B45B48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Hydroxyethyl Starch or Saline for Fluid Resuscitation in Intensive Care</w:t>
            </w:r>
          </w:p>
        </w:tc>
        <w:tc>
          <w:tcPr>
            <w:tcW w:w="1843" w:type="dxa"/>
            <w:vAlign w:val="center"/>
            <w:hideMark/>
          </w:tcPr>
          <w:p w14:paraId="3C1EB159" w14:textId="227E9265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N Engl J Med</w:t>
            </w:r>
          </w:p>
        </w:tc>
        <w:tc>
          <w:tcPr>
            <w:tcW w:w="672" w:type="dxa"/>
            <w:noWrap/>
            <w:vAlign w:val="center"/>
            <w:hideMark/>
          </w:tcPr>
          <w:p w14:paraId="00867528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2012</w:t>
            </w:r>
          </w:p>
        </w:tc>
        <w:tc>
          <w:tcPr>
            <w:tcW w:w="2021" w:type="dxa"/>
            <w:vAlign w:val="center"/>
            <w:hideMark/>
          </w:tcPr>
          <w:p w14:paraId="4149407F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Hemodynamic management</w:t>
            </w:r>
          </w:p>
        </w:tc>
        <w:tc>
          <w:tcPr>
            <w:tcW w:w="1560" w:type="dxa"/>
            <w:vAlign w:val="center"/>
          </w:tcPr>
          <w:p w14:paraId="323C0E1F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Original research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44F6933A" w14:textId="0DE2C61C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1</w:t>
            </w:r>
            <w:r w:rsidR="00376B94" w:rsidRPr="00BF0DD8">
              <w:rPr>
                <w:color w:val="000000" w:themeColor="text1"/>
                <w:lang w:val="en-GB" w:eastAsia="it-IT"/>
              </w:rPr>
              <w:t>146</w:t>
            </w:r>
          </w:p>
        </w:tc>
      </w:tr>
      <w:tr w:rsidR="00BF0DD8" w:rsidRPr="00BF0DD8" w14:paraId="6A68373A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03097906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</w:t>
            </w:r>
          </w:p>
        </w:tc>
        <w:tc>
          <w:tcPr>
            <w:tcW w:w="1843" w:type="dxa"/>
            <w:vAlign w:val="center"/>
            <w:hideMark/>
          </w:tcPr>
          <w:p w14:paraId="1D74A00B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Lancet</w:t>
            </w:r>
          </w:p>
        </w:tc>
        <w:tc>
          <w:tcPr>
            <w:tcW w:w="672" w:type="dxa"/>
            <w:noWrap/>
            <w:vAlign w:val="center"/>
            <w:hideMark/>
          </w:tcPr>
          <w:p w14:paraId="1E2C76B4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2019</w:t>
            </w:r>
          </w:p>
        </w:tc>
        <w:tc>
          <w:tcPr>
            <w:tcW w:w="2021" w:type="dxa"/>
            <w:vAlign w:val="center"/>
            <w:hideMark/>
          </w:tcPr>
          <w:p w14:paraId="2AD2A46B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</w:t>
            </w:r>
          </w:p>
        </w:tc>
        <w:tc>
          <w:tcPr>
            <w:tcW w:w="1560" w:type="dxa"/>
            <w:vAlign w:val="center"/>
          </w:tcPr>
          <w:p w14:paraId="6DFA6C38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Review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3B1687E5" w14:textId="5C4495F1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1</w:t>
            </w:r>
            <w:r w:rsidR="00376B94" w:rsidRPr="00BF0DD8">
              <w:rPr>
                <w:color w:val="000000" w:themeColor="text1"/>
                <w:lang w:val="en-GB" w:eastAsia="it-IT"/>
              </w:rPr>
              <w:t>124</w:t>
            </w:r>
          </w:p>
        </w:tc>
      </w:tr>
      <w:tr w:rsidR="00BF0DD8" w:rsidRPr="00BF0DD8" w14:paraId="286A4CB9" w14:textId="77777777" w:rsidTr="00B41CAA">
        <w:trPr>
          <w:trHeight w:val="283"/>
          <w:jc w:val="center"/>
        </w:trPr>
        <w:tc>
          <w:tcPr>
            <w:tcW w:w="4531" w:type="dxa"/>
            <w:vAlign w:val="center"/>
            <w:hideMark/>
          </w:tcPr>
          <w:p w14:paraId="3B1BA082" w14:textId="77777777" w:rsidR="00376B94" w:rsidRPr="00BF0DD8" w:rsidRDefault="00376B94" w:rsidP="00BF0DD8">
            <w:pPr>
              <w:ind w:firstLineChars="0" w:firstLine="0"/>
              <w:jc w:val="left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disease and renal recovery: consensus report of the Acute Disease Quality Initiative (ADQI) 16 Workgroup</w:t>
            </w:r>
          </w:p>
        </w:tc>
        <w:tc>
          <w:tcPr>
            <w:tcW w:w="1843" w:type="dxa"/>
            <w:vAlign w:val="center"/>
            <w:hideMark/>
          </w:tcPr>
          <w:p w14:paraId="2DE97F68" w14:textId="0A8A4CE7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Nat Rev Nephrol</w:t>
            </w:r>
          </w:p>
        </w:tc>
        <w:tc>
          <w:tcPr>
            <w:tcW w:w="672" w:type="dxa"/>
            <w:noWrap/>
            <w:vAlign w:val="center"/>
            <w:hideMark/>
          </w:tcPr>
          <w:p w14:paraId="71C98CFF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2017</w:t>
            </w:r>
          </w:p>
        </w:tc>
        <w:tc>
          <w:tcPr>
            <w:tcW w:w="2021" w:type="dxa"/>
            <w:vAlign w:val="center"/>
            <w:hideMark/>
          </w:tcPr>
          <w:p w14:paraId="5C331922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  <w:lang w:val="en-GB" w:eastAsia="it-IT"/>
              </w:rPr>
              <w:t>Acute kidney injury</w:t>
            </w:r>
          </w:p>
        </w:tc>
        <w:tc>
          <w:tcPr>
            <w:tcW w:w="1560" w:type="dxa"/>
            <w:vAlign w:val="center"/>
          </w:tcPr>
          <w:p w14:paraId="2F5808FD" w14:textId="77777777" w:rsidR="00376B94" w:rsidRPr="00BF0DD8" w:rsidRDefault="00376B94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 w:rsidRPr="00BF0DD8">
              <w:rPr>
                <w:color w:val="000000" w:themeColor="text1"/>
              </w:rPr>
              <w:t>Original research article</w:t>
            </w:r>
          </w:p>
        </w:tc>
        <w:tc>
          <w:tcPr>
            <w:tcW w:w="1134" w:type="dxa"/>
            <w:noWrap/>
            <w:vAlign w:val="center"/>
            <w:hideMark/>
          </w:tcPr>
          <w:p w14:paraId="5F5DB15E" w14:textId="1EEE355A" w:rsidR="00376B94" w:rsidRPr="00BF0DD8" w:rsidRDefault="00BF0DD8" w:rsidP="00BF0DD8">
            <w:pPr>
              <w:ind w:firstLineChars="0" w:firstLine="0"/>
              <w:jc w:val="center"/>
              <w:rPr>
                <w:color w:val="000000" w:themeColor="text1"/>
                <w:lang w:val="en-GB" w:eastAsia="it-IT"/>
              </w:rPr>
            </w:pPr>
            <w:r>
              <w:rPr>
                <w:color w:val="000000" w:themeColor="text1"/>
                <w:lang w:val="en-GB" w:eastAsia="it-IT"/>
              </w:rPr>
              <w:t>1</w:t>
            </w:r>
            <w:r w:rsidR="00376B94" w:rsidRPr="00BF0DD8">
              <w:rPr>
                <w:color w:val="000000" w:themeColor="text1"/>
                <w:lang w:val="en-GB" w:eastAsia="it-IT"/>
              </w:rPr>
              <w:t>070</w:t>
            </w:r>
          </w:p>
        </w:tc>
      </w:tr>
    </w:tbl>
    <w:p w14:paraId="110E2C6D" w14:textId="2483F6B0" w:rsidR="00376B94" w:rsidRPr="00EC030D" w:rsidRDefault="00376B94" w:rsidP="00986EFC">
      <w:pPr>
        <w:pStyle w:val="af4"/>
        <w:jc w:val="both"/>
        <w:rPr>
          <w:lang w:val="en-GB"/>
        </w:rPr>
      </w:pPr>
      <w:r w:rsidRPr="00B87A5A">
        <w:rPr>
          <w:lang w:val="en-GB"/>
        </w:rPr>
        <w:t>Journal name abbreviations are in accordance with PubMed.</w:t>
      </w:r>
    </w:p>
    <w:p w14:paraId="23AA8FBD" w14:textId="195C9BDB" w:rsidR="00376B94" w:rsidRDefault="00376B94" w:rsidP="00986EFC">
      <w:pPr>
        <w:pStyle w:val="af4"/>
        <w:jc w:val="both"/>
        <w:rPr>
          <w:rFonts w:eastAsiaTheme="minorEastAsia"/>
          <w:lang w:val="en-GB"/>
        </w:rPr>
      </w:pPr>
    </w:p>
    <w:p w14:paraId="10D3D17D" w14:textId="77777777" w:rsidR="00986EFC" w:rsidRPr="00986EFC" w:rsidRDefault="00986EFC" w:rsidP="00986EFC">
      <w:pPr>
        <w:pStyle w:val="af4"/>
        <w:jc w:val="both"/>
        <w:rPr>
          <w:rFonts w:eastAsiaTheme="minorEastAsia"/>
          <w:lang w:val="en-GB"/>
        </w:rPr>
      </w:pPr>
    </w:p>
    <w:sectPr w:rsidR="00986EFC" w:rsidRPr="00986EFC" w:rsidSect="00860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2" w:right="992" w:bottom="992" w:left="992" w:header="283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11A78" w14:textId="77777777" w:rsidR="00414C63" w:rsidRDefault="00414C63" w:rsidP="00414C63">
      <w:pPr>
        <w:ind w:firstLine="420"/>
      </w:pPr>
      <w:r>
        <w:separator/>
      </w:r>
    </w:p>
  </w:endnote>
  <w:endnote w:type="continuationSeparator" w:id="0">
    <w:p w14:paraId="743A916E" w14:textId="77777777" w:rsidR="00414C63" w:rsidRDefault="00414C63" w:rsidP="00414C6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837B" w14:textId="77777777" w:rsidR="00860036" w:rsidRDefault="00860036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004690"/>
      <w:docPartObj>
        <w:docPartGallery w:val="Page Numbers (Bottom of Page)"/>
        <w:docPartUnique/>
      </w:docPartObj>
    </w:sdtPr>
    <w:sdtEndPr/>
    <w:sdtContent>
      <w:p w14:paraId="600FD9B2" w14:textId="6B9E2B70" w:rsidR="00860036" w:rsidRDefault="00860036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EFC" w:rsidRPr="00986EFC">
          <w:rPr>
            <w:noProof/>
            <w:lang w:val="zh-CN"/>
          </w:rPr>
          <w:t>2</w:t>
        </w:r>
        <w:r>
          <w:fldChar w:fldCharType="end"/>
        </w:r>
      </w:p>
    </w:sdtContent>
  </w:sdt>
  <w:p w14:paraId="5675C3EF" w14:textId="77777777" w:rsidR="00860036" w:rsidRDefault="00860036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C750" w14:textId="77777777" w:rsidR="00860036" w:rsidRDefault="00860036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19485" w14:textId="77777777" w:rsidR="00414C63" w:rsidRDefault="00414C63" w:rsidP="00414C63">
      <w:pPr>
        <w:ind w:firstLine="420"/>
      </w:pPr>
      <w:r>
        <w:separator/>
      </w:r>
    </w:p>
  </w:footnote>
  <w:footnote w:type="continuationSeparator" w:id="0">
    <w:p w14:paraId="23F4D59E" w14:textId="77777777" w:rsidR="00414C63" w:rsidRDefault="00414C63" w:rsidP="00414C6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A5C8" w14:textId="77777777" w:rsidR="00860036" w:rsidRDefault="00860036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C7A1" w14:textId="77777777" w:rsidR="00860036" w:rsidRDefault="00860036" w:rsidP="00860036">
    <w:pPr>
      <w:pStyle w:val="af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A5D5E" w14:textId="77777777" w:rsidR="00860036" w:rsidRDefault="00860036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F5A68D5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94"/>
    <w:rsid w:val="00012126"/>
    <w:rsid w:val="00081807"/>
    <w:rsid w:val="00376B94"/>
    <w:rsid w:val="00414C63"/>
    <w:rsid w:val="00583482"/>
    <w:rsid w:val="005D2D74"/>
    <w:rsid w:val="007A6DB7"/>
    <w:rsid w:val="007C5D98"/>
    <w:rsid w:val="007D2389"/>
    <w:rsid w:val="007D6F1D"/>
    <w:rsid w:val="00823B6E"/>
    <w:rsid w:val="00860036"/>
    <w:rsid w:val="00867583"/>
    <w:rsid w:val="008F2455"/>
    <w:rsid w:val="00986EFC"/>
    <w:rsid w:val="00AC18F0"/>
    <w:rsid w:val="00B41CAA"/>
    <w:rsid w:val="00B87A5A"/>
    <w:rsid w:val="00BF0DD8"/>
    <w:rsid w:val="00CD7A92"/>
    <w:rsid w:val="00CF13FD"/>
    <w:rsid w:val="00D74381"/>
    <w:rsid w:val="00F31C92"/>
    <w:rsid w:val="00F34374"/>
    <w:rsid w:val="00F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8FB9A6F"/>
  <w15:chartTrackingRefBased/>
  <w15:docId w15:val="{411AA853-FB72-4836-989A-F3C8045D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455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F245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F245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F245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F245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F245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F2455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F2455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F2455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455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8F2455"/>
    <w:rPr>
      <w:rFonts w:ascii="Times New Roman" w:eastAsia="Times New Roman" w:hAnsi="Times New Roman" w:cs="Book Antiqua"/>
      <w:b/>
      <w:bCs/>
      <w:kern w:val="0"/>
      <w:szCs w:val="20"/>
      <w:lang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8F2455"/>
    <w:rPr>
      <w:rFonts w:ascii="Times New Roman" w:eastAsia="Times New Roman" w:hAnsi="Times New Roman" w:cs="Times New Roman"/>
      <w:b/>
      <w:bCs/>
      <w:i/>
      <w:sz w:val="22"/>
      <w:szCs w:val="21"/>
      <w:lang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8F2455"/>
    <w:rPr>
      <w:rFonts w:ascii="Times New Roman" w:eastAsia="Times New Roman" w:hAnsi="Times New Roman" w:cs="Times New Roman"/>
      <w:bCs/>
      <w:i/>
      <w:sz w:val="22"/>
      <w:szCs w:val="32"/>
      <w:lang w:eastAsia="zh-CN"/>
      <w14:ligatures w14:val="none"/>
    </w:rPr>
  </w:style>
  <w:style w:type="character" w:customStyle="1" w:styleId="40">
    <w:name w:val="标题 4 字符"/>
    <w:link w:val="4"/>
    <w:uiPriority w:val="9"/>
    <w:rsid w:val="008F2455"/>
    <w:rPr>
      <w:rFonts w:ascii="Calibri Light" w:eastAsia="NimbusRomNo9L" w:hAnsi="Calibri Light" w:cs="NimbusRomNo9L"/>
      <w:b/>
      <w:bCs/>
      <w:kern w:val="0"/>
      <w:sz w:val="28"/>
      <w:szCs w:val="28"/>
      <w:lang w:eastAsia="zh-CN"/>
      <w14:ligatures w14:val="none"/>
    </w:rPr>
  </w:style>
  <w:style w:type="character" w:customStyle="1" w:styleId="50">
    <w:name w:val="标题 5 字符"/>
    <w:link w:val="5"/>
    <w:uiPriority w:val="9"/>
    <w:rsid w:val="008F2455"/>
    <w:rPr>
      <w:rFonts w:ascii="Times New Roman" w:eastAsia="Times New Roman" w:hAnsi="Times New Roman" w:cs="Times New Roman"/>
      <w:b/>
      <w:bCs/>
      <w:sz w:val="28"/>
      <w:szCs w:val="28"/>
      <w:lang w:eastAsia="zh-CN"/>
      <w14:ligatures w14:val="none"/>
    </w:rPr>
  </w:style>
  <w:style w:type="character" w:customStyle="1" w:styleId="60">
    <w:name w:val="标题 6 字符"/>
    <w:link w:val="6"/>
    <w:uiPriority w:val="9"/>
    <w:rsid w:val="008F2455"/>
    <w:rPr>
      <w:rFonts w:ascii="等线 Light" w:eastAsia="等线 Light" w:hAnsi="等线 Light" w:cs="Times New Roman"/>
      <w:b/>
      <w:bCs/>
      <w:lang w:eastAsia="zh-CN"/>
      <w14:ligatures w14:val="none"/>
    </w:rPr>
  </w:style>
  <w:style w:type="character" w:customStyle="1" w:styleId="70">
    <w:name w:val="标题 7 字符"/>
    <w:link w:val="7"/>
    <w:uiPriority w:val="9"/>
    <w:rsid w:val="008F2455"/>
    <w:rPr>
      <w:rFonts w:ascii="Times New Roman" w:eastAsia="Times New Roman" w:hAnsi="Times New Roman" w:cs="Times New Roman"/>
      <w:b/>
      <w:bCs/>
      <w:lang w:eastAsia="zh-CN"/>
      <w14:ligatures w14:val="none"/>
    </w:rPr>
  </w:style>
  <w:style w:type="character" w:customStyle="1" w:styleId="80">
    <w:name w:val="标题 8 字符"/>
    <w:link w:val="8"/>
    <w:uiPriority w:val="9"/>
    <w:rsid w:val="008F2455"/>
    <w:rPr>
      <w:rFonts w:ascii="等线 Light" w:eastAsia="等线 Light" w:hAnsi="等线 Light" w:cs="Times New Roman"/>
      <w:lang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8F2455"/>
    <w:rPr>
      <w:rFonts w:ascii="等线 Light" w:eastAsia="等线 Light" w:hAnsi="等线 Light" w:cs="Times New Roman"/>
      <w:sz w:val="21"/>
      <w:szCs w:val="21"/>
      <w:lang w:eastAsia="zh-CN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76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76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B94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76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76B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B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6B9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6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76B9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76B9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8F2455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F2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8F2455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  <w:style w:type="paragraph" w:styleId="af1">
    <w:name w:val="footer"/>
    <w:basedOn w:val="a"/>
    <w:link w:val="af2"/>
    <w:uiPriority w:val="99"/>
    <w:unhideWhenUsed/>
    <w:rsid w:val="008F2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rsid w:val="008F2455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  <w:style w:type="paragraph" w:customStyle="1" w:styleId="af3">
    <w:name w:val="表题"/>
    <w:basedOn w:val="a"/>
    <w:autoRedefine/>
    <w:qFormat/>
    <w:rsid w:val="008F2455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rsid w:val="008F2455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5">
    <w:name w:val="参考文献"/>
    <w:basedOn w:val="a"/>
    <w:autoRedefine/>
    <w:qFormat/>
    <w:rsid w:val="008F245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8F245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8F2455"/>
    <w:pPr>
      <w:ind w:firstLineChars="0" w:firstLine="0"/>
    </w:pPr>
    <w:rPr>
      <w:noProof/>
    </w:rPr>
  </w:style>
  <w:style w:type="character" w:styleId="af8">
    <w:name w:val="line number"/>
    <w:uiPriority w:val="99"/>
    <w:semiHidden/>
    <w:unhideWhenUsed/>
    <w:rsid w:val="008F2455"/>
  </w:style>
  <w:style w:type="paragraph" w:customStyle="1" w:styleId="af9">
    <w:name w:val="机构信息"/>
    <w:basedOn w:val="a"/>
    <w:link w:val="afa"/>
    <w:autoRedefine/>
    <w:qFormat/>
    <w:rsid w:val="008F2455"/>
    <w:pPr>
      <w:ind w:firstLineChars="0" w:firstLine="0"/>
    </w:pPr>
    <w:rPr>
      <w:i/>
    </w:rPr>
  </w:style>
  <w:style w:type="character" w:customStyle="1" w:styleId="afa">
    <w:name w:val="机构信息 字符"/>
    <w:link w:val="af9"/>
    <w:rsid w:val="008F2455"/>
    <w:rPr>
      <w:rFonts w:ascii="Times New Roman" w:eastAsia="Times New Roman" w:hAnsi="Times New Roman" w:cs="Times New Roman"/>
      <w:i/>
      <w:sz w:val="21"/>
      <w:szCs w:val="21"/>
      <w:lang w:eastAsia="zh-CN"/>
      <w14:ligatures w14:val="none"/>
    </w:rPr>
  </w:style>
  <w:style w:type="paragraph" w:customStyle="1" w:styleId="afb">
    <w:name w:val="接收日期"/>
    <w:basedOn w:val="a"/>
    <w:autoRedefine/>
    <w:qFormat/>
    <w:rsid w:val="008F2455"/>
    <w:pPr>
      <w:ind w:firstLineChars="0" w:firstLine="0"/>
    </w:pPr>
  </w:style>
  <w:style w:type="paragraph" w:styleId="afc">
    <w:name w:val="Normal (Web)"/>
    <w:basedOn w:val="a"/>
    <w:uiPriority w:val="99"/>
    <w:unhideWhenUsed/>
    <w:rsid w:val="008F2455"/>
    <w:pPr>
      <w:spacing w:before="100" w:beforeAutospacing="1" w:after="100" w:afterAutospacing="1"/>
    </w:pPr>
    <w:rPr>
      <w:lang w:eastAsia="en-US"/>
    </w:rPr>
  </w:style>
  <w:style w:type="paragraph" w:customStyle="1" w:styleId="afd">
    <w:name w:val="通讯作者"/>
    <w:basedOn w:val="a"/>
    <w:autoRedefine/>
    <w:qFormat/>
    <w:rsid w:val="008F2455"/>
    <w:pPr>
      <w:ind w:firstLineChars="0" w:firstLine="0"/>
    </w:pPr>
  </w:style>
  <w:style w:type="paragraph" w:customStyle="1" w:styleId="afe">
    <w:name w:val="图注"/>
    <w:basedOn w:val="af4"/>
    <w:autoRedefine/>
    <w:qFormat/>
    <w:rsid w:val="008F2455"/>
  </w:style>
  <w:style w:type="paragraph" w:customStyle="1" w:styleId="aff">
    <w:name w:val="文章标题"/>
    <w:basedOn w:val="a"/>
    <w:link w:val="aff0"/>
    <w:autoRedefine/>
    <w:qFormat/>
    <w:rsid w:val="008F245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rsid w:val="008F2455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  <w14:ligatures w14:val="none"/>
    </w:rPr>
  </w:style>
  <w:style w:type="paragraph" w:customStyle="1" w:styleId="aff1">
    <w:name w:val="文章内容"/>
    <w:basedOn w:val="a"/>
    <w:link w:val="aff2"/>
    <w:autoRedefine/>
    <w:rsid w:val="008F2455"/>
    <w:pPr>
      <w:ind w:firstLine="420"/>
    </w:pPr>
    <w:rPr>
      <w:color w:val="000000"/>
    </w:rPr>
  </w:style>
  <w:style w:type="character" w:customStyle="1" w:styleId="aff2">
    <w:name w:val="文章内容 字符"/>
    <w:link w:val="aff1"/>
    <w:rsid w:val="008F2455"/>
    <w:rPr>
      <w:rFonts w:ascii="Times New Roman" w:eastAsia="Times New Roman" w:hAnsi="Times New Roman" w:cs="Times New Roman"/>
      <w:color w:val="000000"/>
      <w:sz w:val="21"/>
      <w:szCs w:val="21"/>
      <w:lang w:eastAsia="zh-CN"/>
      <w14:ligatures w14:val="none"/>
    </w:rPr>
  </w:style>
  <w:style w:type="paragraph" w:customStyle="1" w:styleId="aff3">
    <w:name w:val="摘要"/>
    <w:basedOn w:val="a"/>
    <w:autoRedefine/>
    <w:qFormat/>
    <w:rsid w:val="008F2455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8F2455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8F245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8F2455"/>
    <w:rPr>
      <w:rFonts w:ascii="Times New Roman" w:eastAsia="Times New Roman" w:hAnsi="Times New Roman" w:cs="Times New Roman"/>
      <w:kern w:val="0"/>
      <w:sz w:val="21"/>
      <w:szCs w:val="21"/>
      <w:lang w:eastAsia="zh-CN"/>
      <w14:ligatures w14:val="none"/>
    </w:rPr>
  </w:style>
  <w:style w:type="paragraph" w:customStyle="1" w:styleId="aff7">
    <w:name w:val="致谢部分"/>
    <w:basedOn w:val="aff5"/>
    <w:link w:val="aff8"/>
    <w:autoRedefine/>
    <w:qFormat/>
    <w:rsid w:val="008F2455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8F2455"/>
    <w:rPr>
      <w:rFonts w:ascii="Times New Roman" w:eastAsia="Times New Roman" w:hAnsi="Times New Roman" w:cs="Times New Roman"/>
      <w:b/>
      <w:kern w:val="0"/>
      <w:lang w:eastAsia="zh-CN"/>
      <w14:ligatures w14:val="none"/>
    </w:rPr>
  </w:style>
  <w:style w:type="paragraph" w:customStyle="1" w:styleId="aff9">
    <w:name w:val="作者信息"/>
    <w:basedOn w:val="a"/>
    <w:autoRedefine/>
    <w:qFormat/>
    <w:rsid w:val="008F2455"/>
    <w:pPr>
      <w:ind w:firstLineChars="0" w:firstLine="0"/>
    </w:pPr>
  </w:style>
  <w:style w:type="character" w:styleId="affa">
    <w:name w:val="annotation reference"/>
    <w:basedOn w:val="a0"/>
    <w:uiPriority w:val="99"/>
    <w:semiHidden/>
    <w:unhideWhenUsed/>
    <w:rsid w:val="00CD7A92"/>
    <w:rPr>
      <w:sz w:val="21"/>
      <w:szCs w:val="21"/>
    </w:rPr>
  </w:style>
  <w:style w:type="paragraph" w:styleId="affb">
    <w:name w:val="annotation text"/>
    <w:basedOn w:val="a"/>
    <w:link w:val="affc"/>
    <w:uiPriority w:val="99"/>
    <w:unhideWhenUsed/>
    <w:rsid w:val="00CD7A92"/>
    <w:pPr>
      <w:jc w:val="left"/>
    </w:pPr>
  </w:style>
  <w:style w:type="character" w:customStyle="1" w:styleId="affc">
    <w:name w:val="批注文字 字符"/>
    <w:basedOn w:val="a0"/>
    <w:link w:val="affb"/>
    <w:uiPriority w:val="99"/>
    <w:rsid w:val="00CD7A92"/>
    <w:rPr>
      <w:rFonts w:ascii="Times New Roman" w:eastAsia="Times New Roman" w:hAnsi="Times New Roman" w:cs="Times New Roman"/>
      <w:sz w:val="21"/>
      <w:szCs w:val="21"/>
      <w:lang w:eastAsia="zh-CN"/>
      <w14:ligatures w14:val="none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CD7A92"/>
    <w:rPr>
      <w:b/>
      <w:bCs/>
    </w:rPr>
  </w:style>
  <w:style w:type="character" w:customStyle="1" w:styleId="affe">
    <w:name w:val="批注主题 字符"/>
    <w:basedOn w:val="affc"/>
    <w:link w:val="affd"/>
    <w:uiPriority w:val="99"/>
    <w:semiHidden/>
    <w:rsid w:val="00CD7A92"/>
    <w:rPr>
      <w:rFonts w:ascii="Times New Roman" w:eastAsia="Times New Roman" w:hAnsi="Times New Roman" w:cs="Times New Roman"/>
      <w:b/>
      <w:bCs/>
      <w:sz w:val="21"/>
      <w:szCs w:val="21"/>
      <w:lang w:eastAsia="zh-CN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CD7A92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CD7A92"/>
    <w:rPr>
      <w:rFonts w:ascii="Times New Roman" w:eastAsia="Times New Roman" w:hAnsi="Times New Roman" w:cs="Times New Roman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Baiardo Redaelli</dc:creator>
  <cp:keywords/>
  <dc:description/>
  <cp:lastModifiedBy>MRE Press</cp:lastModifiedBy>
  <cp:revision>22</cp:revision>
  <dcterms:created xsi:type="dcterms:W3CDTF">2025-05-29T13:01:00Z</dcterms:created>
  <dcterms:modified xsi:type="dcterms:W3CDTF">2025-06-13T01:38:00Z</dcterms:modified>
</cp:coreProperties>
</file>